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9682C" w14:textId="443E1A2E" w:rsidR="005D139B" w:rsidRPr="00B956F1" w:rsidRDefault="00B956F1" w:rsidP="00B956F1">
      <w:pPr>
        <w:pStyle w:val="Heading1"/>
        <w:rPr>
          <w:lang w:val="cy-GB"/>
        </w:rPr>
      </w:pPr>
      <w:r w:rsidRPr="00B956F1">
        <w:rPr>
          <w:lang w:val="cy-GB"/>
        </w:rPr>
        <w:t>Amrywiaeth yn ein sefydliad</w:t>
      </w:r>
    </w:p>
    <w:p w14:paraId="1D7F27F0" w14:textId="4DB40C30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Pwy ydym ni:</w:t>
      </w:r>
    </w:p>
    <w:p w14:paraId="5B60D449" w14:textId="77777777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>Cyngor Celfyddydau Cymru yw sefydliad ariannu a datblygu swyddogol y wlad ar gyfer y celfyddydau. Llywodraeth Cymru yw ein prif noddwr. Rydym hefyd yn dosbarthu arian y Loteri Genedlaethol ac yn codi arian ychwanegol o ffynonellau cyhoeddus eraill a’r sector preifat lle y gallwn wneud hynny. Gan gydweithio â Llywodraeth Cymru, rydym yn cefnogi ac yn hyrwyddo cyfraniad pwysig y celfyddydau i Gymru.</w:t>
      </w:r>
    </w:p>
    <w:p w14:paraId="0F445A2B" w14:textId="19430F55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Yr hyn a wnawn:</w:t>
      </w:r>
    </w:p>
    <w:p w14:paraId="10CBE779" w14:textId="77777777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Rydym yn cefnogi’r celfyddydau gorau a mwyaf cyffrous sydd gan Gymru i’w cynnig. Drwy greu amgylchedd lle y gall y celfyddydau ffynnu, rydym yn helpu artistiaid a sefydliadau celfyddydol i gyflawni eu gwaith gorau. Rydym eisiau i gynifer o bobl â phosibl fwynhau a chymryd rhan yn y celfyddydau, boed yn y Gymraeg neu’r Saesneg. Mewn gwlad sy’n deg ac yn gyfartal, credwn y dylai’r celfyddydau fod ar gael yn helaeth ac yn gyfleus i bawb. Rydym yn benderfynol o hyrwyddo chwalu’r rhwystrau sy’n atal hyn rhag digwydd ar hyn o bryd. </w:t>
      </w:r>
    </w:p>
    <w:p w14:paraId="3CAFE5FA" w14:textId="2E74286C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Ein staff:</w:t>
      </w:r>
    </w:p>
    <w:p w14:paraId="10CDB464" w14:textId="77777777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Wrth wraidd unrhyw sefydliad llwyddiannus mae pobl llawn symbyliad a brwdfrydedd. Rydym yn parchu ac yn annog ein gilydd. Rydym yn dechrau pob dydd gydag agwedd gadarnhaol a pharodrwydd i dyfu, dysgu a herio ein hunain. Rydym yn dysgu oddi wrth ein gilydd, ac oddi wrth y bobl yr ydym yn gweithio gyda nhw. Gan gydweithio rydym yn cyflawni canlyniadau sy’n gwneud gwahaniaeth. </w:t>
      </w:r>
    </w:p>
    <w:p w14:paraId="52062779" w14:textId="39E3751E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>Gwyddom fod gweithlu amrywiol yn helpu i annog creadigrwydd ac arloesedd. Bydd cael ystod amrywiol o weithwyr yn ein helpu i gyrraedd cynifer o bobl â phosibl a sicrhau ein bod yn hygyrch.</w:t>
      </w:r>
    </w:p>
    <w:p w14:paraId="6610C3EE" w14:textId="24DFFEE5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Cynyddu amrywiaeth:</w:t>
      </w:r>
    </w:p>
    <w:p w14:paraId="2E79D2E0" w14:textId="77777777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Rydym yn cydnabod y gallwn wneud mwy i gynyddu amrywiaeth ein gweithlu. I’r perwyl hwnnw, mewn rhai amgylchiadau, byddwn yn cymryd camau gweithredu cadarnhaol yn ein prosesau recriwtio a dethol. Mae Adran 158 Deddf Cydraddoldeb 2010 yn caniatáu i gyflogwyr gymryd camau i annog pobl â nodwedd warchodedig benodol fanteisio ar gyfleoedd cyflogaeth mewn amgylchiadau penodol. Gelwir hyn yn ‘gamau gweithredu cadarnhaol’. Byddwn yn defnyddio’r data sydd gennym i benderfynu pa nodweddion gwarchodedig sydd heb gynrychiolaeth ddigonol yn y gweithlu. Diben ‘camau gweithredu cadarnhaol’ yw lleihau diffyg cynrychiolaeth, i ddiwallu anghenion pobl â’r nodwedd </w:t>
      </w:r>
      <w:r w:rsidRPr="00B956F1">
        <w:rPr>
          <w:color w:val="auto"/>
          <w:lang w:val="cy-GB"/>
        </w:rPr>
        <w:lastRenderedPageBreak/>
        <w:t>arbennig honno, neu i atal neu wneud yn iawn am anfantais y mae grŵp o bobl wedi’i dioddef. Yn yr achosion hyn, byddwn yn:</w:t>
      </w:r>
    </w:p>
    <w:p w14:paraId="129BAF73" w14:textId="77777777" w:rsidR="00B956F1" w:rsidRPr="00B956F1" w:rsidRDefault="00B956F1" w:rsidP="00B956F1">
      <w:pPr>
        <w:numPr>
          <w:ilvl w:val="0"/>
          <w:numId w:val="38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nodi yn yr hysbyseb swydd y croesewir ceisiadau gan bobl a chanddynt nodwedd warchodedig benodol sydd heb gynrychiolaeth ddigonol</w:t>
      </w:r>
    </w:p>
    <w:p w14:paraId="79A67A9B" w14:textId="77777777" w:rsidR="00B956F1" w:rsidRPr="00B956F1" w:rsidRDefault="00B956F1" w:rsidP="00B956F1">
      <w:pPr>
        <w:numPr>
          <w:ilvl w:val="0"/>
          <w:numId w:val="38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defnyddio mathau o gyfryngau neu’n dewis lleoliadau penodol i hysbysebu’r swydd sy’n debygol o gael eu gweld gan aelodau o grŵp penodol</w:t>
      </w:r>
    </w:p>
    <w:p w14:paraId="02BA967B" w14:textId="77777777" w:rsidR="00B956F1" w:rsidRPr="00B956F1" w:rsidRDefault="00B956F1" w:rsidP="00B956F1">
      <w:pPr>
        <w:numPr>
          <w:ilvl w:val="0"/>
          <w:numId w:val="38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nodi yn yr hysbyseb swydd y byddwn yn mentora neu’n darparu hyfforddiant yn ystod y cyfnod sefydlu i berson a benodir o grŵp heb gynrychiolaeth ddigonol, os oes angen.</w:t>
      </w:r>
    </w:p>
    <w:p w14:paraId="40425B74" w14:textId="635B9A30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>Mae Adran 159 y Ddeddf Cydraddoldeb yn caniatáu i ni ddewis recriwtio neu ddyrchafu ymgeisydd â nodwedd warchodedig benodol, yn hytrach nag ymgeisydd arall nad yw’n rhannu’r nodwedd honno, mewn achos lle mae’r ddau ymgeisydd yr un mor gymwys â’i gilydd ar gyfer y swydd. Mae’r term “yr un mor gymwys” yn cynnwys yr holl feini prawf y byddem yn eu defnyddio i sefydlu pwy yw’r ymgeisydd mwyaf cymwys ar gyfer y swydd (ac nid cymwysterau academaidd yn unig).</w:t>
      </w:r>
    </w:p>
    <w:p w14:paraId="393F87C8" w14:textId="35B792CF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Llywodraethu:</w:t>
      </w:r>
    </w:p>
    <w:p w14:paraId="1C8B92C2" w14:textId="77777777" w:rsidR="00B956F1" w:rsidRPr="00B956F1" w:rsidRDefault="00B956F1" w:rsidP="00B956F1">
      <w:pPr>
        <w:pStyle w:val="BodyText"/>
        <w:rPr>
          <w:color w:val="auto"/>
          <w:lang w:val="cy-GB"/>
        </w:rPr>
      </w:pPr>
      <w:r w:rsidRPr="00B956F1">
        <w:rPr>
          <w:color w:val="auto"/>
          <w:lang w:val="cy-GB"/>
        </w:rPr>
        <w:t>Mae ein Grŵp Monitro Cydraddoldeb yn cynnwys aelodau o staff, aelodau o’r Cyngor ac aelodau annibynnol. Cadeirir y grŵp gan aelod o’r Cyngor. Rôl y grŵp yw:</w:t>
      </w:r>
    </w:p>
    <w:p w14:paraId="128DAC31" w14:textId="77777777" w:rsidR="00B956F1" w:rsidRPr="00B956F1" w:rsidRDefault="00B956F1" w:rsidP="00B956F1">
      <w:pPr>
        <w:pStyle w:val="BodyText"/>
        <w:numPr>
          <w:ilvl w:val="0"/>
          <w:numId w:val="39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Adolygu, monitro a chyfrannu at ddatblygu polisïau a gweithdrefnau sy’n galluogi’r Cyngor i fynd ar drywydd agenda flaengar i hyrwyddo cydraddoldeb ar draws yr holl ‘nodweddion gwarchodedig’ yn Neddf Cydraddoldeb 2010 (oedran, anabledd, ailbennu rhywedd, priodas/partneriaethau sifil, beichiogrwydd a mamolaeth, hil, crefydd neu gred, rhyw a chyfeiriadedd rhywiol).</w:t>
      </w:r>
    </w:p>
    <w:p w14:paraId="673C8BD8" w14:textId="77777777" w:rsidR="00B956F1" w:rsidRPr="00B956F1" w:rsidRDefault="00B956F1" w:rsidP="00B956F1">
      <w:pPr>
        <w:pStyle w:val="BodyText"/>
        <w:numPr>
          <w:ilvl w:val="0"/>
          <w:numId w:val="39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Helpu’r Cyngor a’i swyddogion i sicrhau bod ei weithgareddau yn y maes hwn yn gyson ag uchelgeisiau Deddf Llesiant Cenedlaethau’r Dyfodol Llywodraeth Cymru.</w:t>
      </w:r>
    </w:p>
    <w:p w14:paraId="2987C625" w14:textId="77777777" w:rsidR="00B956F1" w:rsidRPr="00B956F1" w:rsidRDefault="00B956F1" w:rsidP="00B956F1">
      <w:pPr>
        <w:pStyle w:val="BodyText"/>
        <w:numPr>
          <w:ilvl w:val="0"/>
          <w:numId w:val="39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Helpu’r Cyngor a’i swyddogion i ymgorffori cydraddoldeb mewn agwedd arferol ar fuddsoddiad, prosesau a rhaglenni gwaith Cyngor Celfyddydau Cymru.</w:t>
      </w:r>
    </w:p>
    <w:p w14:paraId="3CE355F8" w14:textId="77777777" w:rsidR="00B956F1" w:rsidRPr="00B956F1" w:rsidRDefault="00B956F1" w:rsidP="00B956F1">
      <w:pPr>
        <w:pStyle w:val="BodyText"/>
        <w:numPr>
          <w:ilvl w:val="0"/>
          <w:numId w:val="39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Cyfrannu at fonitro cydymffurfiaeth Cyngor Celfyddydau Cymru â holl ofynion statudol a rheoleiddiol perthnasol, gan gynnwys unrhyw ddyletswyddau cyffredinol a phenodol cysylltiedig, gan gynnwys monitro gweithrediad y Cynllun Gweithredu Strategol ar Gydraddoldeb.</w:t>
      </w:r>
    </w:p>
    <w:p w14:paraId="7765BDFE" w14:textId="77777777" w:rsidR="00B956F1" w:rsidRPr="00B956F1" w:rsidRDefault="00B956F1" w:rsidP="00B956F1">
      <w:pPr>
        <w:pStyle w:val="BodyText"/>
        <w:numPr>
          <w:ilvl w:val="0"/>
          <w:numId w:val="39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Cynghori ar ddatblygu, gweithredu a monitro prosiectau datblygu penodol.</w:t>
      </w:r>
    </w:p>
    <w:p w14:paraId="67927349" w14:textId="32735059" w:rsidR="00B956F1" w:rsidRPr="00B956F1" w:rsidRDefault="00B956F1" w:rsidP="00813AA2">
      <w:pPr>
        <w:pStyle w:val="BodyText"/>
        <w:numPr>
          <w:ilvl w:val="0"/>
          <w:numId w:val="39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Bydd y Grŵp yn sicrhau y cydymffurfir â’r swyddogaethau hyn drwy fabwysiadu’r canlynol:</w:t>
      </w:r>
    </w:p>
    <w:p w14:paraId="785DABBB" w14:textId="77777777" w:rsidR="00B956F1" w:rsidRPr="00B956F1" w:rsidRDefault="00B956F1" w:rsidP="00B956F1">
      <w:pPr>
        <w:pStyle w:val="BodyText"/>
        <w:numPr>
          <w:ilvl w:val="0"/>
          <w:numId w:val="40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lastRenderedPageBreak/>
        <w:t>Goruchwylio’n weithredol effeithiolrwydd gweithgareddau Cyngor Celfyddydau Cymru wrth ddangos ymrwymiad i gydraddoldeb fel egwyddor lywodraethu sylfaenol</w:t>
      </w:r>
    </w:p>
    <w:p w14:paraId="3C921A92" w14:textId="77777777" w:rsidR="00B956F1" w:rsidRPr="00B956F1" w:rsidRDefault="00B956F1" w:rsidP="00B956F1">
      <w:pPr>
        <w:pStyle w:val="BodyText"/>
        <w:numPr>
          <w:ilvl w:val="0"/>
          <w:numId w:val="40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Monitro gweithrediad gofynion y ddeddfwriaeth berthnasol (gan gynnwys y Cynllun Gweithredu Strategol ar Gydraddoldeb a’r adolygiad o Asesiadau o’r Effaith ar Gydraddoldeb)</w:t>
      </w:r>
    </w:p>
    <w:p w14:paraId="4C1233C5" w14:textId="77777777" w:rsidR="00B956F1" w:rsidRPr="00B956F1" w:rsidRDefault="00B956F1" w:rsidP="00B956F1">
      <w:pPr>
        <w:pStyle w:val="BodyText"/>
        <w:numPr>
          <w:ilvl w:val="0"/>
          <w:numId w:val="40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Cynghori ar fentrau sy’n cynorthwyo hyfforddi a datblygu staff Cyngor Celfyddydau Cymru</w:t>
      </w:r>
    </w:p>
    <w:p w14:paraId="7158F982" w14:textId="77777777" w:rsidR="00B956F1" w:rsidRPr="00B956F1" w:rsidRDefault="00B956F1" w:rsidP="00B956F1">
      <w:pPr>
        <w:pStyle w:val="BodyText"/>
        <w:numPr>
          <w:ilvl w:val="0"/>
          <w:numId w:val="40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Darparu cyngor ac arweiniad ar faterion cydraddoldeb er budd artistiaid a sefydliadau celfyddydol</w:t>
      </w:r>
    </w:p>
    <w:p w14:paraId="7D68F479" w14:textId="77777777" w:rsidR="00B956F1" w:rsidRPr="00B956F1" w:rsidRDefault="00B956F1" w:rsidP="00B956F1">
      <w:pPr>
        <w:pStyle w:val="BodyText"/>
        <w:numPr>
          <w:ilvl w:val="0"/>
          <w:numId w:val="40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Gwneud argymhellion i’r Uwch-dîm Arwain a’r Cyngor ynghylch  unrhyw un o’r uchod</w:t>
      </w:r>
    </w:p>
    <w:p w14:paraId="3A186141" w14:textId="77938C6C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Hyfforddiant:</w:t>
      </w:r>
    </w:p>
    <w:p w14:paraId="0D7FE39A" w14:textId="77777777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>Rydym yn cynnal sesiynau hyfforddi cyffredinol ar gydraddoldeb ac amrywiaeth i’n holl staff. Cynhelir y diwrnodau hyfforddi hyn gan hwyluswyr o gymunedau sydd heb gynrychiolaeth ddigonol. Rydym hefyd yn canolbwyntio ar bynciau unigol i ehangu ein gwybodaeth a’n dealltwriaeth o rai nodweddion gwarchodedig. Rydym yn croesawu awgrymiadau gan staff ar bynciau o ddiddordeb.</w:t>
      </w:r>
    </w:p>
    <w:p w14:paraId="727F0E82" w14:textId="3FBAC01A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Cyfleusterau:</w:t>
      </w:r>
    </w:p>
    <w:p w14:paraId="70BE638E" w14:textId="77777777" w:rsidR="00B956F1" w:rsidRPr="00B956F1" w:rsidRDefault="00B956F1" w:rsidP="00B956F1">
      <w:pPr>
        <w:pStyle w:val="BodyText"/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Ein nod yw sicrhau nad oes unrhyw rwystrau i fynediad i’n swyddfeydd gan staff ac ymwelwyr anabl. </w:t>
      </w:r>
    </w:p>
    <w:p w14:paraId="7E798007" w14:textId="77777777" w:rsidR="00B956F1" w:rsidRPr="00B956F1" w:rsidRDefault="00B956F1" w:rsidP="00B956F1">
      <w:pPr>
        <w:pStyle w:val="BodyText"/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Cynlluniwyd y swyddfeydd ag annibyniaeth mewn golwg a’n bwriad yw darparu mynediad i bob ymwelydd waeth beth fo’i anghenion unigol. </w:t>
      </w:r>
    </w:p>
    <w:p w14:paraId="02D51109" w14:textId="77777777" w:rsidR="00B956F1" w:rsidRPr="00B956F1" w:rsidRDefault="00B956F1" w:rsidP="00B956F1">
      <w:pPr>
        <w:pStyle w:val="BodyText"/>
        <w:rPr>
          <w:color w:val="auto"/>
          <w:lang w:val="cy-GB"/>
        </w:rPr>
      </w:pPr>
      <w:r w:rsidRPr="00B956F1">
        <w:rPr>
          <w:color w:val="auto"/>
          <w:lang w:val="cy-GB"/>
        </w:rPr>
        <w:t>Gan nad oes gennym dderbynfa â staff yn ein swyddfeydd, mae’n well gennym eich bod yn cysylltu â ni ymlaen llaw cyn i chi gyrraedd ein swyddfeydd. Yna gallwn drefnu bod yr aelod cywir o staff ar gael i gwrdd â chi, ac i ddelio â’ch ymholiad ac unrhyw ofynion a allai fod gennych.</w:t>
      </w:r>
    </w:p>
    <w:p w14:paraId="3B813EF3" w14:textId="77777777" w:rsidR="00B956F1" w:rsidRPr="00B956F1" w:rsidRDefault="00B956F1" w:rsidP="00B956F1">
      <w:pPr>
        <w:pStyle w:val="BodyText"/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Gellir cael rhagor o fanylion am hygyrchedd drwy gysylltu â’r </w:t>
      </w:r>
      <w:hyperlink r:id="rId11" w:history="1">
        <w:r w:rsidRPr="00B956F1">
          <w:rPr>
            <w:rStyle w:val="Hyperlink"/>
            <w:color w:val="auto"/>
            <w:lang w:val="cy-GB"/>
          </w:rPr>
          <w:t>Tîm Cyfleusterau</w:t>
        </w:r>
      </w:hyperlink>
      <w:r w:rsidRPr="00B956F1">
        <w:rPr>
          <w:color w:val="auto"/>
          <w:lang w:val="cy-GB"/>
        </w:rPr>
        <w:t>.</w:t>
      </w:r>
    </w:p>
    <w:p w14:paraId="7A686E92" w14:textId="77777777" w:rsidR="00B956F1" w:rsidRPr="00B956F1" w:rsidRDefault="00B956F1" w:rsidP="00B956F1">
      <w:pPr>
        <w:pStyle w:val="BodyText"/>
        <w:rPr>
          <w:lang w:val="cy-GB"/>
        </w:rPr>
      </w:pPr>
    </w:p>
    <w:sectPr w:rsidR="00B956F1" w:rsidRPr="00B956F1" w:rsidSect="00B956F1">
      <w:headerReference w:type="default" r:id="rId12"/>
      <w:pgSz w:w="11910" w:h="16840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A3427" w14:textId="77777777" w:rsidR="00B956F1" w:rsidRDefault="00B956F1" w:rsidP="00FA7AAD">
      <w:pPr>
        <w:spacing w:before="0" w:line="240" w:lineRule="auto"/>
      </w:pPr>
      <w:r>
        <w:separator/>
      </w:r>
    </w:p>
  </w:endnote>
  <w:endnote w:type="continuationSeparator" w:id="0">
    <w:p w14:paraId="253D9B7B" w14:textId="77777777" w:rsidR="00B956F1" w:rsidRDefault="00B956F1" w:rsidP="00FA7AAD">
      <w:pPr>
        <w:spacing w:before="0" w:line="240" w:lineRule="auto"/>
      </w:pPr>
      <w:r>
        <w:continuationSeparator/>
      </w:r>
    </w:p>
  </w:endnote>
  <w:endnote w:type="continuationNotice" w:id="1">
    <w:p w14:paraId="7297FF6D" w14:textId="77777777" w:rsidR="00B956F1" w:rsidRDefault="00B956F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E2B95" w14:textId="77777777" w:rsidR="00B956F1" w:rsidRDefault="00B956F1" w:rsidP="00FA7AAD">
      <w:pPr>
        <w:spacing w:before="0" w:line="240" w:lineRule="auto"/>
      </w:pPr>
      <w:r>
        <w:separator/>
      </w:r>
    </w:p>
  </w:footnote>
  <w:footnote w:type="continuationSeparator" w:id="0">
    <w:p w14:paraId="7B5B2350" w14:textId="77777777" w:rsidR="00B956F1" w:rsidRDefault="00B956F1" w:rsidP="00FA7AAD">
      <w:pPr>
        <w:spacing w:before="0" w:line="240" w:lineRule="auto"/>
      </w:pPr>
      <w:r>
        <w:continuationSeparator/>
      </w:r>
    </w:p>
  </w:footnote>
  <w:footnote w:type="continuationNotice" w:id="1">
    <w:p w14:paraId="68359100" w14:textId="77777777" w:rsidR="00B956F1" w:rsidRDefault="00B956F1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67FF7" w14:textId="1AD4CAB4" w:rsidR="005758E8" w:rsidRDefault="00B956F1" w:rsidP="00B956F1">
    <w:pPr>
      <w:pStyle w:val="Header"/>
      <w:jc w:val="right"/>
    </w:pPr>
    <w:r w:rsidRPr="005A56FE">
      <w:rPr>
        <w:rFonts w:ascii="FuturaWelsh" w:hAnsi="FuturaWelsh"/>
        <w:noProof/>
        <w:lang w:eastAsia="en-GB"/>
      </w:rPr>
      <w:drawing>
        <wp:inline distT="0" distB="0" distL="0" distR="0" wp14:anchorId="70710F2A" wp14:editId="3C5FABCE">
          <wp:extent cx="2054225" cy="546100"/>
          <wp:effectExtent l="0" t="0" r="3175" b="6350"/>
          <wp:docPr id="1" name="Picture 1" descr="ACW logo CMYK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W logo CMYK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4B177B"/>
    <w:multiLevelType w:val="hybridMultilevel"/>
    <w:tmpl w:val="E292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04581"/>
    <w:multiLevelType w:val="hybridMultilevel"/>
    <w:tmpl w:val="15CA2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EB4901"/>
    <w:multiLevelType w:val="hybridMultilevel"/>
    <w:tmpl w:val="D5BAE930"/>
    <w:lvl w:ilvl="0" w:tplc="48682E90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6" w:hanging="360"/>
      </w:pPr>
    </w:lvl>
    <w:lvl w:ilvl="2" w:tplc="0809001B" w:tentative="1">
      <w:start w:val="1"/>
      <w:numFmt w:val="lowerRoman"/>
      <w:lvlText w:val="%3."/>
      <w:lvlJc w:val="right"/>
      <w:pPr>
        <w:ind w:left="2526" w:hanging="180"/>
      </w:pPr>
    </w:lvl>
    <w:lvl w:ilvl="3" w:tplc="0809000F" w:tentative="1">
      <w:start w:val="1"/>
      <w:numFmt w:val="decimal"/>
      <w:lvlText w:val="%4."/>
      <w:lvlJc w:val="left"/>
      <w:pPr>
        <w:ind w:left="3246" w:hanging="360"/>
      </w:pPr>
    </w:lvl>
    <w:lvl w:ilvl="4" w:tplc="08090019" w:tentative="1">
      <w:start w:val="1"/>
      <w:numFmt w:val="lowerLetter"/>
      <w:lvlText w:val="%5."/>
      <w:lvlJc w:val="left"/>
      <w:pPr>
        <w:ind w:left="3966" w:hanging="360"/>
      </w:pPr>
    </w:lvl>
    <w:lvl w:ilvl="5" w:tplc="0809001B" w:tentative="1">
      <w:start w:val="1"/>
      <w:numFmt w:val="lowerRoman"/>
      <w:lvlText w:val="%6."/>
      <w:lvlJc w:val="right"/>
      <w:pPr>
        <w:ind w:left="4686" w:hanging="180"/>
      </w:pPr>
    </w:lvl>
    <w:lvl w:ilvl="6" w:tplc="0809000F" w:tentative="1">
      <w:start w:val="1"/>
      <w:numFmt w:val="decimal"/>
      <w:lvlText w:val="%7."/>
      <w:lvlJc w:val="left"/>
      <w:pPr>
        <w:ind w:left="5406" w:hanging="360"/>
      </w:pPr>
    </w:lvl>
    <w:lvl w:ilvl="7" w:tplc="08090019" w:tentative="1">
      <w:start w:val="1"/>
      <w:numFmt w:val="lowerLetter"/>
      <w:lvlText w:val="%8."/>
      <w:lvlJc w:val="left"/>
      <w:pPr>
        <w:ind w:left="6126" w:hanging="360"/>
      </w:pPr>
    </w:lvl>
    <w:lvl w:ilvl="8" w:tplc="08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2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3"/>
  </w:num>
  <w:num w:numId="13">
    <w:abstractNumId w:val="17"/>
  </w:num>
  <w:num w:numId="14">
    <w:abstractNumId w:val="13"/>
  </w:num>
  <w:num w:numId="15">
    <w:abstractNumId w:val="13"/>
    <w:lvlOverride w:ilvl="0">
      <w:startOverride w:val="1"/>
    </w:lvlOverride>
  </w:num>
  <w:num w:numId="16">
    <w:abstractNumId w:val="28"/>
  </w:num>
  <w:num w:numId="17">
    <w:abstractNumId w:val="25"/>
  </w:num>
  <w:num w:numId="18">
    <w:abstractNumId w:val="38"/>
  </w:num>
  <w:num w:numId="19">
    <w:abstractNumId w:val="15"/>
  </w:num>
  <w:num w:numId="20">
    <w:abstractNumId w:val="19"/>
  </w:num>
  <w:num w:numId="21">
    <w:abstractNumId w:val="33"/>
  </w:num>
  <w:num w:numId="22">
    <w:abstractNumId w:val="14"/>
  </w:num>
  <w:num w:numId="23">
    <w:abstractNumId w:val="24"/>
  </w:num>
  <w:num w:numId="24">
    <w:abstractNumId w:val="27"/>
  </w:num>
  <w:num w:numId="25">
    <w:abstractNumId w:val="10"/>
  </w:num>
  <w:num w:numId="26">
    <w:abstractNumId w:val="32"/>
  </w:num>
  <w:num w:numId="27">
    <w:abstractNumId w:val="30"/>
  </w:num>
  <w:num w:numId="28">
    <w:abstractNumId w:val="18"/>
  </w:num>
  <w:num w:numId="29">
    <w:abstractNumId w:val="37"/>
  </w:num>
  <w:num w:numId="30">
    <w:abstractNumId w:val="35"/>
  </w:num>
  <w:num w:numId="31">
    <w:abstractNumId w:val="29"/>
  </w:num>
  <w:num w:numId="32">
    <w:abstractNumId w:val="16"/>
  </w:num>
  <w:num w:numId="33">
    <w:abstractNumId w:val="34"/>
  </w:num>
  <w:num w:numId="34">
    <w:abstractNumId w:val="11"/>
  </w:num>
  <w:num w:numId="35">
    <w:abstractNumId w:val="22"/>
  </w:num>
  <w:num w:numId="36">
    <w:abstractNumId w:val="26"/>
  </w:num>
  <w:num w:numId="37">
    <w:abstractNumId w:val="36"/>
  </w:num>
  <w:num w:numId="38">
    <w:abstractNumId w:val="20"/>
  </w:num>
  <w:num w:numId="39">
    <w:abstractNumId w:val="21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readOnly" w:enforcement="1" w:cryptProviderType="rsaAES" w:cryptAlgorithmClass="hash" w:cryptAlgorithmType="typeAny" w:cryptAlgorithmSid="14" w:cryptSpinCount="100000" w:hash="rB9PyPTOGkGAxrb6Y1i/P9FZSq9bt2uKHJsPYtU47GvfFdpLKWUGfpzBAnMko6VulGeM/bGwQdm6f6bzz68i2Q==" w:salt="wonf6hKHIBaVctt4IysbzQ=="/>
  <w:defaultTabStop w:val="720"/>
  <w:characterSpacingControl w:val="doNotCompress"/>
  <w:hdrShapeDefaults>
    <o:shapedefaults v:ext="edit" spidmax="4097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F1"/>
    <w:rsid w:val="00012F38"/>
    <w:rsid w:val="00037DA4"/>
    <w:rsid w:val="00044127"/>
    <w:rsid w:val="00067540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54F86"/>
    <w:rsid w:val="00157BC5"/>
    <w:rsid w:val="001668CA"/>
    <w:rsid w:val="001C1A4E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27AB5"/>
    <w:rsid w:val="00727B49"/>
    <w:rsid w:val="00727ED6"/>
    <w:rsid w:val="00737387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956F1"/>
    <w:rsid w:val="00BB07EA"/>
    <w:rsid w:val="00BB4273"/>
    <w:rsid w:val="00BC054E"/>
    <w:rsid w:val="00BC6EA1"/>
    <w:rsid w:val="00BD6947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9c,#069"/>
    </o:shapedefaults>
    <o:shapelayout v:ext="edit">
      <o:idmap v:ext="edit" data="1"/>
    </o:shapelayout>
  </w:shapeDefaults>
  <w:decimalSymbol w:val="."/>
  <w:listSeparator w:val=","/>
  <w14:docId w14:val="06A591AE"/>
  <w15:chartTrackingRefBased/>
  <w15:docId w15:val="{E6C00F40-089C-4344-94FC-84EAF425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ts.wales/about-us/contact-u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R0000574815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Props1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4525C-A73E-44E8-B0A3-83D63ACB94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94189F-B1F1-4308-84D0-3AB5CA79D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6AE50B-0DFF-482E-A209-CE0143C23E89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sharepoint/v4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9ce7b62-b777-4779-aabc-67296a301b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919</Words>
  <Characters>5243</Characters>
  <Application>Microsoft Office Word</Application>
  <DocSecurity>8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Carys Hedd Paschalis</cp:lastModifiedBy>
  <cp:revision>2</cp:revision>
  <cp:lastPrinted>2019-10-17T11:07:00Z</cp:lastPrinted>
  <dcterms:created xsi:type="dcterms:W3CDTF">2021-02-04T16:30:00Z</dcterms:created>
  <dcterms:modified xsi:type="dcterms:W3CDTF">2021-02-04T16:30:00Z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RecordPoint_ActiveItemUniqueId">
    <vt:lpwstr>{94fde7a6-2fe8-4bb8-b780-453ea19bcf5f}</vt:lpwstr>
  </property>
  <property fmtid="{D5CDD505-2E9C-101B-9397-08002B2CF9AE}" pid="4" name="RecordPoint_SubmissionCompleted">
    <vt:lpwstr>2020-01-07T15:42:20.0510013+00:00</vt:lpwstr>
  </property>
  <property fmtid="{D5CDD505-2E9C-101B-9397-08002B2CF9AE}" pid="5" name="HR Document Type">
    <vt:lpwstr/>
  </property>
  <property fmtid="{D5CDD505-2E9C-101B-9397-08002B2CF9AE}" pid="6" name="RecordPoint_WorkflowType">
    <vt:lpwstr>ActiveSubmitStub</vt:lpwstr>
  </property>
  <property fmtid="{D5CDD505-2E9C-101B-9397-08002B2CF9AE}" pid="7" name="RecordPoint_SubmissionDate">
    <vt:lpwstr/>
  </property>
  <property fmtid="{D5CDD505-2E9C-101B-9397-08002B2CF9AE}" pid="8" name="RecordPoint_RecordNumberSubmitted">
    <vt:lpwstr>R0000574815</vt:lpwstr>
  </property>
  <property fmtid="{D5CDD505-2E9C-101B-9397-08002B2CF9AE}" pid="9" name="RecordPoint_ActiveItemSiteId">
    <vt:lpwstr>{7b27078a-0544-42b7-8b00-a97e94acea45}</vt:lpwstr>
  </property>
  <property fmtid="{D5CDD505-2E9C-101B-9397-08002B2CF9AE}" pid="10" name="RecordPoint_ActiveItemListId">
    <vt:lpwstr>{54b54e16-dc5f-480a-a3dc-553dd3687c9f}</vt:lpwstr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RecordPoint_ActiveItemWebId">
    <vt:lpwstr>{f9ce7b62-b777-4779-aabc-67296a301bff}</vt:lpwstr>
  </property>
</Properties>
</file>