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C5F3" w14:textId="77777777" w:rsidR="000A4A19" w:rsidRDefault="000A4A19" w:rsidP="00B956F1">
      <w:pPr>
        <w:pStyle w:val="Heading1"/>
        <w:rPr>
          <w:lang w:val="cy-GB"/>
        </w:rPr>
      </w:pPr>
    </w:p>
    <w:p w14:paraId="2729682C" w14:textId="35EBC971" w:rsidR="005D139B" w:rsidRPr="00B956F1" w:rsidRDefault="00B956F1" w:rsidP="00B956F1">
      <w:pPr>
        <w:pStyle w:val="Heading1"/>
        <w:rPr>
          <w:lang w:val="cy-GB"/>
        </w:rPr>
      </w:pPr>
      <w:r w:rsidRPr="00B956F1">
        <w:rPr>
          <w:lang w:val="cy-GB"/>
        </w:rPr>
        <w:t>Amrywiaeth yn ein sefydliad</w:t>
      </w:r>
    </w:p>
    <w:p w14:paraId="1D7F27F0" w14:textId="4DB40C30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Pwy ydym ni:</w:t>
      </w:r>
    </w:p>
    <w:p w14:paraId="5B60D44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Cyngor Celfyddydau Cymru yw sefydliad ariannu a datblygu swyddogol y wlad ar gyfer y celfyddydau. Llywodraeth Cymru yw ein prif noddwr. Rydym hefyd yn dosbarthu arian y Loteri Genedlaethol ac yn codi arian ychwanegol o ffynonellau cyhoeddus eraill a’r sector preifat lle y gallwn wneud hynny. Gan gydweithio â Llywodraeth Cymru, rydym yn cefnogi ac yn hyrwyddo cyfraniad pwysig y celfyddydau i Gymru.</w:t>
      </w:r>
    </w:p>
    <w:p w14:paraId="0F445A2B" w14:textId="19430F5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Yr hyn a wnawn:</w:t>
      </w:r>
    </w:p>
    <w:p w14:paraId="10CBE77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cefnogi’r celfyddydau gorau a mwyaf cyffrous sydd gan Gymru i’w cynnig. Drwy greu amgylchedd lle y gall y celfyddydau ffynnu, rydym yn helpu artistiaid a sefydliadau celfyddydol i gyflawni eu gwaith gorau. Rydym eisiau i gynifer o bobl â phosibl fwynhau a chymryd rhan yn y celfyddydau, boed yn y Gymraeg neu’r Saesneg. Mewn gwlad sy’n deg ac yn gyfartal, credwn y dylai’r celfyddydau fod ar gael yn helaeth ac yn gyfleus i bawb. Rydym yn benderfynol o hyrwyddo chwalu’r rhwystrau sy’n atal hyn rhag digwydd ar hyn o bryd. </w:t>
      </w:r>
    </w:p>
    <w:p w14:paraId="3CAFE5FA" w14:textId="2E7428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Ein staff:</w:t>
      </w:r>
    </w:p>
    <w:p w14:paraId="10CDB464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Wrth wraidd unrhyw sefydliad llwyddiannus mae pobl llawn symbyliad a brwdfrydedd. Rydym yn parchu ac yn annog ein gilydd. Rydym yn dechrau pob dydd gydag agwedd gadarnhaol a pharodrwydd i dyfu, dysgu a herio ein hunain. Rydym yn dysgu oddi wrth ein gilydd, ac oddi wrth y bobl yr ydym yn gweithio gyda nhw. Gan gydweithio rydym yn cyflawni canlyniadau sy’n gwneud gwahaniaeth. </w:t>
      </w:r>
    </w:p>
    <w:p w14:paraId="52062779" w14:textId="39E3751E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Gwyddom fod gweithlu amrywiol yn helpu i annog creadigrwydd ac arloesedd. Bydd cael ystod amrywiol o weithwyr yn ein helpu i gyrraedd cynifer o bobl â phosibl a sicrhau ein bod yn hygyrch.</w:t>
      </w:r>
    </w:p>
    <w:p w14:paraId="6610C3EE" w14:textId="24DFFEE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Cynyddu amrywiaeth:</w:t>
      </w:r>
    </w:p>
    <w:p w14:paraId="381EB07B" w14:textId="77777777" w:rsidR="000A4A19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cydnabod y gallwn wneud mwy i gynyddu amrywiaeth ein gweithlu. I’r perwyl hwnnw, mewn rhai amgylchiadau, byddwn yn cymryd camau gweithredu cadarnhaol yn ein prosesau recriwtio a dethol. Mae Adran 158 Deddf Cydraddoldeb 2010 yn caniatáu i gyflogwyr gymryd camau i annog pobl â nodwedd warchodedig benodol fanteisio ar gyfleoedd cyflogaeth mewn amgylchiadau penodol. Gelwir hyn yn ‘gamau gweithredu cadarnhaol’. Byddwn yn defnyddio’r data sydd gennym i benderfynu pa nodweddion gwarchodedig sydd heb gynrychiolaeth ddigonol yn y gweithlu. Diben ‘camau gweithredu </w:t>
      </w:r>
    </w:p>
    <w:p w14:paraId="2044F4BA" w14:textId="77777777" w:rsidR="000A4A19" w:rsidRDefault="000A4A19" w:rsidP="00B956F1">
      <w:pPr>
        <w:rPr>
          <w:color w:val="auto"/>
          <w:lang w:val="cy-GB"/>
        </w:rPr>
      </w:pPr>
    </w:p>
    <w:p w14:paraId="2E79D2E0" w14:textId="0C652B9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cadarnhaol’ yw lleihau diffyg cynrychiolaeth, i ddiwallu anghenion pobl â’r nodwedd arbennig honno, neu i atal neu wneud yn iawn am anfantais y mae grŵp o bobl wedi’i dioddef. Yn yr achosion hyn, byddwn yn:</w:t>
      </w:r>
    </w:p>
    <w:p w14:paraId="129BAF73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croesewir ceisiadau gan bobl a chanddynt nodwedd warchodedig benodol sydd heb gynrychiolaeth ddigonol</w:t>
      </w:r>
    </w:p>
    <w:p w14:paraId="79A67A9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defnyddio mathau o gyfryngau neu’n dewis lleoliadau penodol i hysbysebu’r swydd sy’n debygol o gael eu gweld gan aelodau o grŵp penodol</w:t>
      </w:r>
    </w:p>
    <w:p w14:paraId="02BA967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byddwn yn mentora neu’n darparu hyfforddiant yn ystod y cyfnod sefydlu i berson a benodir o grŵp heb gynrychiolaeth ddigonol, os oes angen.</w:t>
      </w:r>
    </w:p>
    <w:p w14:paraId="40425B74" w14:textId="635B9A3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Mae Adran 159 y Ddeddf Cydraddoldeb yn caniatáu i ni ddewis recriwtio neu ddyrchafu ymgeisydd â nodwedd warchodedig benodol, yn hytrach nag ymgeisydd arall nad yw’n rhannu’r nodwedd honno, mewn achos lle mae’r ddau ymgeisydd yr un mor gymwys â’i gilydd ar gyfer y swydd. Mae’r term “yr un mor gymwys” yn cynnwys yr holl feini prawf y byddem yn eu defnyddio i sefydlu pwy yw’r ymgeisydd mwyaf cymwys ar gyfer y swydd (ac nid cymwysterau academaidd yn unig).</w:t>
      </w:r>
    </w:p>
    <w:p w14:paraId="393F87C8" w14:textId="35B792CF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Llywodraethu:</w:t>
      </w:r>
    </w:p>
    <w:p w14:paraId="1C8B92C2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Mae ein Grŵp Monitro Cydraddoldeb yn cynnwys aelodau o staff, aelodau o’r Cyngor ac aelodau annibynnol. Cadeirir y grŵp gan aelod o’r Cyngor. Rôl y grŵp yw:</w:t>
      </w:r>
    </w:p>
    <w:p w14:paraId="128DAC31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Adolygu, monitro a chyfrannu at ddatblygu polisïau a gweithdrefnau sy’n galluogi’r Cyngor i fynd ar drywydd agenda flaengar i hyrwyddo cydraddoldeb ar draws yr holl ‘nodweddion gwarchodedig’ yn Neddf Cydraddoldeb 2010 (oedran, anabledd, ailbennu rhywedd, priodas/partneriaethau sifil, beichiogrwydd a mamolaeth, hil, crefydd neu gred, rhyw a chyfeiriadedd rhywiol).</w:t>
      </w:r>
    </w:p>
    <w:p w14:paraId="673C8BD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sicrhau bod ei weithgareddau yn y maes hwn yn gyson ag uchelgeisiau Deddf Llesiant Cenedlaethau’r Dyfodol Llywodraeth Cymru.</w:t>
      </w:r>
    </w:p>
    <w:p w14:paraId="2987C625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ymgorffori cydraddoldeb mewn agwedd arferol ar fuddsoddiad, prosesau a rhaglenni gwaith Cyngor Celfyddydau Cymru.</w:t>
      </w:r>
    </w:p>
    <w:p w14:paraId="3CE355F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Cyfrannu at fonitro cydymffurfiaeth Cyngor Celfyddydau Cymru â holl ofynion statudol a rheoleiddiol perthnasol, gan gynnwys unrhyw ddyletswyddau cyffredinol a phenodol cysylltiedig, gan gynnwys monitro gweithrediad y Cynllun Gweithredu Strategol ar Gydraddoldeb.</w:t>
      </w:r>
    </w:p>
    <w:p w14:paraId="7765BDFE" w14:textId="106D4D01" w:rsid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ddatblygu, gweithredu a monitro prosiectau datblygu penodol.</w:t>
      </w:r>
    </w:p>
    <w:p w14:paraId="4C2FD323" w14:textId="77777777" w:rsidR="000A4A19" w:rsidRPr="00B956F1" w:rsidRDefault="000A4A19" w:rsidP="000A4A19">
      <w:pPr>
        <w:pStyle w:val="BodyText"/>
        <w:rPr>
          <w:color w:val="auto"/>
          <w:lang w:val="cy-GB"/>
        </w:rPr>
      </w:pPr>
    </w:p>
    <w:p w14:paraId="67927349" w14:textId="32735059" w:rsidR="00B956F1" w:rsidRPr="00B956F1" w:rsidRDefault="00B956F1" w:rsidP="00813AA2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Bydd y Grŵp yn sicrhau y cydymffurfir â’r swyddogaethau hyn drwy fabwysiadu’r canlynol:</w:t>
      </w:r>
    </w:p>
    <w:p w14:paraId="785DABBB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Goruchwylio’n weithredol effeithiolrwydd gweithgareddau Cyngor Celfyddydau Cymru wrth ddangos ymrwymiad i gydraddoldeb fel egwyddor lywodraethu sylfaenol</w:t>
      </w:r>
    </w:p>
    <w:p w14:paraId="3C921A9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Monitro gweithrediad gofynion y ddeddfwriaeth berthnasol (gan gynnwys y Cynllun Gweithredu Strategol ar Gydraddoldeb a’r adolygiad o Asesiadau o’r Effaith ar Gydraddoldeb)</w:t>
      </w:r>
    </w:p>
    <w:p w14:paraId="4C1233C5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fentrau sy’n cynorthwyo hyfforddi a datblygu staff Cyngor Celfyddydau Cymru</w:t>
      </w:r>
    </w:p>
    <w:p w14:paraId="7158F98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Darparu cyngor ac arweiniad ar faterion cydraddoldeb er budd artistiaid a sefydliadau celfyddydol</w:t>
      </w:r>
    </w:p>
    <w:p w14:paraId="7D68F479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Gwneud argymhellion i’r Uwch-dîm Arwain a’r Cyngor ynghylch  unrhyw un o’r uchod</w:t>
      </w:r>
    </w:p>
    <w:p w14:paraId="3A186141" w14:textId="77938C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Hyfforddiant:</w:t>
      </w:r>
    </w:p>
    <w:p w14:paraId="0D7FE39A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Rydym yn cynnal sesiynau hyfforddi cyffredinol ar gydraddoldeb ac amrywiaeth i’n holl staff. Cynhelir y diwrnodau hyfforddi hyn gan hwyluswyr o gymunedau sydd heb gynrychiolaeth ddigonol. Rydym hefyd yn canolbwyntio ar bynciau unigol i ehangu ein gwybodaeth a’n dealltwriaeth o rai nodweddion gwarchodedig. Rydym yn croesawu awgrymiadau gan staff ar bynciau o ddiddordeb.</w:t>
      </w:r>
    </w:p>
    <w:p w14:paraId="727F0E82" w14:textId="3FBAC01A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Cyfleusterau:</w:t>
      </w:r>
    </w:p>
    <w:p w14:paraId="70BE638E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Ein nod yw sicrhau nad oes unrhyw rwystrau i fynediad i’n swyddfeydd gan staff ac ymwelwyr anabl. </w:t>
      </w:r>
    </w:p>
    <w:p w14:paraId="7E798007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Cynlluniwyd y swyddfeydd ag annibyniaeth mewn golwg a’n bwriad yw darparu mynediad i bob ymwelydd waeth beth fo’i anghenion unigol. </w:t>
      </w:r>
    </w:p>
    <w:p w14:paraId="02D51109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Gan nad oes gennym dderbynfa â staff yn ein swyddfeydd, mae’n well gennym eich bod yn cysylltu â ni ymlaen llaw cyn i chi gyrraedd ein swyddfeydd. Yna gallwn drefnu bod yr aelod cywir o staff ar gael i gwrdd â chi, ac i ddelio â’ch ymholiad ac unrhyw ofynion a allai fod gennych.</w:t>
      </w:r>
    </w:p>
    <w:p w14:paraId="3B813EF3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Gellir cael rhagor o fanylion am hygyrchedd drwy gysylltu â’r </w:t>
      </w:r>
      <w:hyperlink r:id="rId11" w:history="1">
        <w:r w:rsidRPr="00B956F1">
          <w:rPr>
            <w:rStyle w:val="Hyperlink"/>
            <w:color w:val="auto"/>
            <w:lang w:val="cy-GB"/>
          </w:rPr>
          <w:t>Tîm Cyfleusterau</w:t>
        </w:r>
      </w:hyperlink>
      <w:r w:rsidRPr="00B956F1">
        <w:rPr>
          <w:color w:val="auto"/>
          <w:lang w:val="cy-GB"/>
        </w:rPr>
        <w:t>.</w:t>
      </w:r>
    </w:p>
    <w:p w14:paraId="7A686E92" w14:textId="77777777" w:rsidR="00B956F1" w:rsidRPr="00B956F1" w:rsidRDefault="00B956F1" w:rsidP="00B956F1">
      <w:pPr>
        <w:pStyle w:val="BodyText"/>
        <w:rPr>
          <w:lang w:val="cy-GB"/>
        </w:rPr>
      </w:pPr>
    </w:p>
    <w:sectPr w:rsidR="00B956F1" w:rsidRPr="00B956F1" w:rsidSect="00B956F1">
      <w:headerReference w:type="default" r:id="rId12"/>
      <w:pgSz w:w="11910" w:h="16840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427" w14:textId="77777777" w:rsidR="00B956F1" w:rsidRDefault="00B956F1" w:rsidP="00FA7AAD">
      <w:pPr>
        <w:spacing w:before="0" w:line="240" w:lineRule="auto"/>
      </w:pPr>
      <w:r>
        <w:separator/>
      </w:r>
    </w:p>
  </w:endnote>
  <w:endnote w:type="continuationSeparator" w:id="0">
    <w:p w14:paraId="253D9B7B" w14:textId="77777777" w:rsidR="00B956F1" w:rsidRDefault="00B956F1" w:rsidP="00FA7AAD">
      <w:pPr>
        <w:spacing w:before="0" w:line="240" w:lineRule="auto"/>
      </w:pPr>
      <w:r>
        <w:continuationSeparator/>
      </w:r>
    </w:p>
  </w:endnote>
  <w:endnote w:type="continuationNotice" w:id="1">
    <w:p w14:paraId="7297FF6D" w14:textId="77777777" w:rsidR="00B956F1" w:rsidRDefault="00B956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2B95" w14:textId="77777777" w:rsidR="00B956F1" w:rsidRDefault="00B956F1" w:rsidP="00FA7AAD">
      <w:pPr>
        <w:spacing w:before="0" w:line="240" w:lineRule="auto"/>
      </w:pPr>
      <w:r>
        <w:separator/>
      </w:r>
    </w:p>
  </w:footnote>
  <w:footnote w:type="continuationSeparator" w:id="0">
    <w:p w14:paraId="7B5B2350" w14:textId="77777777" w:rsidR="00B956F1" w:rsidRDefault="00B956F1" w:rsidP="00FA7AAD">
      <w:pPr>
        <w:spacing w:before="0" w:line="240" w:lineRule="auto"/>
      </w:pPr>
      <w:r>
        <w:continuationSeparator/>
      </w:r>
    </w:p>
  </w:footnote>
  <w:footnote w:type="continuationNotice" w:id="1">
    <w:p w14:paraId="68359100" w14:textId="77777777" w:rsidR="00B956F1" w:rsidRDefault="00B956F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7FF7" w14:textId="46ACD2C1" w:rsidR="005758E8" w:rsidRDefault="000A4A19" w:rsidP="00B956F1">
    <w:pPr>
      <w:pStyle w:val="Header"/>
      <w:jc w:val="right"/>
    </w:pPr>
    <w:r>
      <w:rPr>
        <w:noProof/>
      </w:rPr>
      <w:drawing>
        <wp:inline distT="0" distB="0" distL="0" distR="0" wp14:anchorId="6F1E0C47" wp14:editId="6EC9FBA6">
          <wp:extent cx="2903339" cy="49954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608" cy="50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B177B"/>
    <w:multiLevelType w:val="hybridMultilevel"/>
    <w:tmpl w:val="E29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04581"/>
    <w:multiLevelType w:val="hybridMultilevel"/>
    <w:tmpl w:val="15CA2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B4901"/>
    <w:multiLevelType w:val="hybridMultilevel"/>
    <w:tmpl w:val="D5BAE930"/>
    <w:lvl w:ilvl="0" w:tplc="48682E9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2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8"/>
  </w:num>
  <w:num w:numId="17">
    <w:abstractNumId w:val="25"/>
  </w:num>
  <w:num w:numId="18">
    <w:abstractNumId w:val="38"/>
  </w:num>
  <w:num w:numId="19">
    <w:abstractNumId w:val="15"/>
  </w:num>
  <w:num w:numId="20">
    <w:abstractNumId w:val="19"/>
  </w:num>
  <w:num w:numId="21">
    <w:abstractNumId w:val="33"/>
  </w:num>
  <w:num w:numId="22">
    <w:abstractNumId w:val="14"/>
  </w:num>
  <w:num w:numId="23">
    <w:abstractNumId w:val="24"/>
  </w:num>
  <w:num w:numId="24">
    <w:abstractNumId w:val="27"/>
  </w:num>
  <w:num w:numId="25">
    <w:abstractNumId w:val="10"/>
  </w:num>
  <w:num w:numId="26">
    <w:abstractNumId w:val="32"/>
  </w:num>
  <w:num w:numId="27">
    <w:abstractNumId w:val="30"/>
  </w:num>
  <w:num w:numId="28">
    <w:abstractNumId w:val="18"/>
  </w:num>
  <w:num w:numId="29">
    <w:abstractNumId w:val="37"/>
  </w:num>
  <w:num w:numId="30">
    <w:abstractNumId w:val="35"/>
  </w:num>
  <w:num w:numId="31">
    <w:abstractNumId w:val="29"/>
  </w:num>
  <w:num w:numId="32">
    <w:abstractNumId w:val="16"/>
  </w:num>
  <w:num w:numId="33">
    <w:abstractNumId w:val="34"/>
  </w:num>
  <w:num w:numId="34">
    <w:abstractNumId w:val="11"/>
  </w:num>
  <w:num w:numId="35">
    <w:abstractNumId w:val="22"/>
  </w:num>
  <w:num w:numId="36">
    <w:abstractNumId w:val="26"/>
  </w:num>
  <w:num w:numId="37">
    <w:abstractNumId w:val="36"/>
  </w:num>
  <w:num w:numId="38">
    <w:abstractNumId w:val="20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readOnly" w:enforcement="0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1"/>
    <w:rsid w:val="00012F38"/>
    <w:rsid w:val="00037DA4"/>
    <w:rsid w:val="00044127"/>
    <w:rsid w:val="00067540"/>
    <w:rsid w:val="000727B4"/>
    <w:rsid w:val="0009320A"/>
    <w:rsid w:val="000976DC"/>
    <w:rsid w:val="000A4A19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956F1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06A591AE"/>
  <w15:chartTrackingRefBased/>
  <w15:docId w15:val="{E6C00F40-089C-4344-94FC-84EAF42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about-us/contact-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R0000574815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4174525C-A73E-44E8-B0A3-83D63ACB94F9}"/>
</file>

<file path=customXml/itemProps4.xml><?xml version="1.0" encoding="utf-8"?>
<ds:datastoreItem xmlns:ds="http://schemas.openxmlformats.org/officeDocument/2006/customXml" ds:itemID="{7D94189F-B1F1-4308-84D0-3AB5CA79D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3</cp:revision>
  <cp:lastPrinted>2019-10-17T11:07:00Z</cp:lastPrinted>
  <dcterms:created xsi:type="dcterms:W3CDTF">2020-01-07T14:12:00Z</dcterms:created>
  <dcterms:modified xsi:type="dcterms:W3CDTF">2022-03-31T14:34:00Z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ActiveItemUniqueId">
    <vt:lpwstr>{94fde7a6-2fe8-4bb8-b780-453ea19bcf5f}</vt:lpwstr>
  </property>
  <property fmtid="{D5CDD505-2E9C-101B-9397-08002B2CF9AE}" pid="4" name="RecordPoint_SubmissionCompleted">
    <vt:lpwstr>2022-03-31T15:35:15.3032344+01:00</vt:lpwstr>
  </property>
  <property fmtid="{D5CDD505-2E9C-101B-9397-08002B2CF9AE}" pid="5" name="HR Document Type">
    <vt:lpwstr/>
  </property>
  <property fmtid="{D5CDD505-2E9C-101B-9397-08002B2CF9AE}" pid="6" name="RecordPoint_WorkflowType">
    <vt:lpwstr>ActiveSubmitStub</vt:lpwstr>
  </property>
  <property fmtid="{D5CDD505-2E9C-101B-9397-08002B2CF9AE}" pid="7" name="RecordPoint_SubmissionDate">
    <vt:lpwstr/>
  </property>
  <property fmtid="{D5CDD505-2E9C-101B-9397-08002B2CF9AE}" pid="8" name="RecordPoint_RecordNumberSubmitted">
    <vt:lpwstr>R0000574815</vt:lpwstr>
  </property>
  <property fmtid="{D5CDD505-2E9C-101B-9397-08002B2CF9AE}" pid="9" name="RecordPoint_ActiveItemSiteId">
    <vt:lpwstr>{7b27078a-0544-42b7-8b00-a97e94acea45}</vt:lpwstr>
  </property>
  <property fmtid="{D5CDD505-2E9C-101B-9397-08002B2CF9AE}" pid="10" name="RecordPoint_ActiveItemListId">
    <vt:lpwstr>{54b54e16-dc5f-480a-a3dc-553dd3687c9f}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{f9ce7b62-b777-4779-aabc-67296a301bff}</vt:lpwstr>
  </property>
</Properties>
</file>