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FB1A" w14:textId="77777777" w:rsidR="00FD3C25" w:rsidRDefault="00FD3C25" w:rsidP="003009EE">
      <w:pPr>
        <w:pStyle w:val="Heading1"/>
      </w:pPr>
      <w:bookmarkStart w:id="0" w:name="_Hlk131576964"/>
      <w:bookmarkEnd w:id="0"/>
      <w:r>
        <w:rPr>
          <w:noProof/>
        </w:rPr>
        <w:drawing>
          <wp:inline distT="0" distB="0" distL="0" distR="0" wp14:anchorId="6B0D0EAD" wp14:editId="6EF8E440">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111EC6E0" w14:textId="77777777" w:rsidR="00546E04" w:rsidRPr="00131F42" w:rsidRDefault="00211A66" w:rsidP="000B3B04">
      <w:pPr>
        <w:pStyle w:val="Heading1"/>
        <w:spacing w:before="1800"/>
      </w:pPr>
      <w:r w:rsidRPr="00131F42">
        <w:t>Large print</w:t>
      </w:r>
    </w:p>
    <w:p w14:paraId="64C03C37" w14:textId="015C81CC" w:rsidR="002F2BEF" w:rsidRPr="00697236" w:rsidRDefault="00B83D54" w:rsidP="000B3B04">
      <w:pPr>
        <w:pStyle w:val="Heading1"/>
        <w:spacing w:before="1800"/>
        <w:rPr>
          <w:sz w:val="72"/>
          <w:szCs w:val="72"/>
        </w:rPr>
      </w:pPr>
      <w:r>
        <w:rPr>
          <w:sz w:val="72"/>
          <w:szCs w:val="72"/>
        </w:rPr>
        <w:t>Annual Report 2022-2023</w:t>
      </w:r>
      <w:r w:rsidR="002F2BEF" w:rsidRPr="00697236">
        <w:rPr>
          <w:sz w:val="72"/>
          <w:szCs w:val="72"/>
        </w:rPr>
        <w:t xml:space="preserve"> </w:t>
      </w:r>
    </w:p>
    <w:p w14:paraId="3DD2F6B4" w14:textId="4885675D" w:rsidR="00091AA8" w:rsidRPr="00131F42" w:rsidRDefault="00B83D54" w:rsidP="002F2BEF">
      <w:pPr>
        <w:pStyle w:val="Heading1"/>
        <w:rPr>
          <w:sz w:val="56"/>
          <w:szCs w:val="56"/>
        </w:rPr>
      </w:pPr>
      <w:r>
        <w:rPr>
          <w:sz w:val="56"/>
          <w:szCs w:val="56"/>
        </w:rPr>
        <w:t>Strategic Equality Plan 2020-2024</w:t>
      </w:r>
    </w:p>
    <w:p w14:paraId="3399B334" w14:textId="5D492513" w:rsidR="002F2BEF" w:rsidRDefault="00011021">
      <w:pPr>
        <w:spacing w:before="0" w:after="160" w:line="259" w:lineRule="auto"/>
        <w:rPr>
          <w:rFonts w:eastAsiaTheme="majorEastAsia" w:cstheme="majorBidi"/>
          <w:sz w:val="40"/>
          <w:szCs w:val="26"/>
        </w:rPr>
      </w:pPr>
      <w:r w:rsidRPr="00A926CC">
        <w:rPr>
          <w:noProof/>
          <w:szCs w:val="36"/>
        </w:rPr>
        <w:drawing>
          <wp:anchor distT="0" distB="0" distL="114300" distR="114300" simplePos="0" relativeHeight="251658240" behindDoc="0" locked="0" layoutInCell="1" allowOverlap="1" wp14:anchorId="5FA18F63" wp14:editId="5A202324">
            <wp:simplePos x="0" y="0"/>
            <wp:positionH relativeFrom="margin">
              <wp:align>left</wp:align>
            </wp:positionH>
            <wp:positionV relativeFrom="margin">
              <wp:posOffset>7007860</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D59708C" wp14:editId="7963C9B1">
            <wp:simplePos x="0" y="0"/>
            <wp:positionH relativeFrom="margin">
              <wp:align>left</wp:align>
            </wp:positionH>
            <wp:positionV relativeFrom="paragraph">
              <wp:posOffset>3456305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2A7CB1CD" w14:textId="77777777" w:rsidR="006E0242" w:rsidRPr="0064291F" w:rsidRDefault="003009EE" w:rsidP="005E6062">
      <w:pPr>
        <w:pStyle w:val="Heading2"/>
      </w:pPr>
      <w:bookmarkStart w:id="1" w:name="_Toc131578278"/>
      <w:r w:rsidRPr="0064291F">
        <w:lastRenderedPageBreak/>
        <w:t>Accessibility</w:t>
      </w:r>
      <w:bookmarkEnd w:id="1"/>
    </w:p>
    <w:p w14:paraId="2EE4E3DD" w14:textId="6F7676BE" w:rsidR="005A609F" w:rsidRDefault="002D3A45" w:rsidP="005A609F">
      <w:pPr>
        <w:rPr>
          <w:noProof/>
        </w:rPr>
      </w:pPr>
      <w:r>
        <w:t>Arts Council of Wales is committed to making information available in large print, braille, audio, Easy</w:t>
      </w:r>
      <w:r w:rsidR="005A609F" w:rsidRPr="005A609F">
        <w:t xml:space="preserve"> </w:t>
      </w:r>
      <w:r w:rsidR="005A609F">
        <w:rPr>
          <w:noProof/>
        </w:rPr>
        <w:t>Read and British Sign Language and will endeavour to provide information in languages other than Welsh or English on request.</w:t>
      </w:r>
    </w:p>
    <w:p w14:paraId="1E066DED" w14:textId="5F308B7C" w:rsidR="005A609F" w:rsidRDefault="005A609F" w:rsidP="005A609F">
      <w:pPr>
        <w:rPr>
          <w:noProof/>
        </w:rPr>
      </w:pPr>
      <w:r>
        <w:rPr>
          <w:noProof/>
        </w:rPr>
        <w:t xml:space="preserve">If you have any access needs and are thinking about making an application, we can help to make sure that you’re supported during the application process. Please contact us at </w:t>
      </w:r>
      <w:hyperlink r:id="rId11" w:history="1">
        <w:r w:rsidR="009A0F76" w:rsidRPr="00823F7A">
          <w:rPr>
            <w:rStyle w:val="Hyperlink"/>
            <w:noProof/>
          </w:rPr>
          <w:t>grants@arts.wales</w:t>
        </w:r>
      </w:hyperlink>
      <w:r w:rsidR="009A0F76">
        <w:rPr>
          <w:noProof/>
        </w:rPr>
        <w:t xml:space="preserve"> </w:t>
      </w:r>
      <w:r>
        <w:rPr>
          <w:noProof/>
        </w:rPr>
        <w:t>to discuss how we can help.</w:t>
      </w:r>
    </w:p>
    <w:p w14:paraId="0CBDCC22" w14:textId="63D7E1B3" w:rsidR="004E3713" w:rsidRDefault="005A609F" w:rsidP="005A609F">
      <w:r>
        <w:rPr>
          <w:noProof/>
        </w:rPr>
        <w:t>Arts Council of Wales operates an equal opportunities policy</w:t>
      </w:r>
      <w:r w:rsidR="000D4CD5" w:rsidRPr="000D4CD5">
        <w:t>.</w:t>
      </w:r>
    </w:p>
    <w:p w14:paraId="6F5AC89F" w14:textId="6BFA87D6" w:rsidR="004E3713" w:rsidRDefault="005A609F">
      <w:pPr>
        <w:spacing w:before="0" w:after="160" w:line="259" w:lineRule="auto"/>
      </w:pPr>
      <w:r>
        <w:rPr>
          <w:noProof/>
        </w:rPr>
        <w:drawing>
          <wp:anchor distT="0" distB="0" distL="114300" distR="114300" simplePos="0" relativeHeight="251662336" behindDoc="0" locked="0" layoutInCell="1" allowOverlap="1" wp14:anchorId="1292BCE0" wp14:editId="14DE6DD4">
            <wp:simplePos x="0" y="0"/>
            <wp:positionH relativeFrom="column">
              <wp:posOffset>-45720</wp:posOffset>
            </wp:positionH>
            <wp:positionV relativeFrom="paragraph">
              <wp:posOffset>259080</wp:posOffset>
            </wp:positionV>
            <wp:extent cx="2194560" cy="1066800"/>
            <wp:effectExtent l="0" t="0" r="0" b="0"/>
            <wp:wrapSquare wrapText="bothSides"/>
            <wp:docPr id="1340420086" name="Picture 1340420086"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004E3713">
        <w:br w:type="page"/>
      </w:r>
    </w:p>
    <w:p w14:paraId="38E0401D" w14:textId="77777777" w:rsidR="00BB03FD" w:rsidRDefault="00BB03FD" w:rsidP="005E6062">
      <w:pPr>
        <w:pStyle w:val="Heading2"/>
      </w:pPr>
      <w:r>
        <w:lastRenderedPageBreak/>
        <w:t>Introduction</w:t>
      </w:r>
    </w:p>
    <w:p w14:paraId="0E0858C1" w14:textId="77777777" w:rsidR="00BB03FD" w:rsidRDefault="00BB03FD" w:rsidP="00BB03FD">
      <w:r>
        <w:t xml:space="preserve">The Public Sector Equality Duty sets out specific duties for the public sector in Wales to support and help progress on equalities work. For the Arts Council of Wales, reporting on Equalities is more than a legal requirement, it’s fundamental to the delivery of our core priorities. </w:t>
      </w:r>
    </w:p>
    <w:p w14:paraId="71418AC6" w14:textId="77777777" w:rsidR="00BB03FD" w:rsidRDefault="00BB03FD" w:rsidP="00BB03FD">
      <w:r>
        <w:t>Our Corporate Plan, “For the Benefit of All” sets out our ambitions and plans for increasing the number of people enjoying and taking part in the arts, targeting those people from communities and backgrounds that the arts in Wales still fail to fully represent.</w:t>
      </w:r>
    </w:p>
    <w:p w14:paraId="7A75C3A4" w14:textId="77777777" w:rsidR="00BB03FD" w:rsidRDefault="00BB03FD" w:rsidP="00BB03FD">
      <w:r>
        <w:t xml:space="preserve">The Arts Council of Wales believes that culture in Wales should reflect the lives of all its citizens. People who are culturally and ethnically diverse, neuro-divergent, deaf and disabled people, LGBTQ+ people and people facing social-economic disadvantage are integral and central to our cultural life. Our approach in taking forward our work will be one of zero tolerance to racism and ableism and to work towards ensuring people from </w:t>
      </w:r>
      <w:r>
        <w:lastRenderedPageBreak/>
        <w:t xml:space="preserve">these communities are fully represented in the workforce, as decision makers, as visitors, as creators, participants and as audience members. </w:t>
      </w:r>
    </w:p>
    <w:p w14:paraId="12DF5235" w14:textId="77777777" w:rsidR="00BB03FD" w:rsidRDefault="00BB03FD" w:rsidP="00BB03FD">
      <w:r>
        <w:t xml:space="preserve">Our vision is for a fair and equal Wales where the arts are widely and easily available for everyone. We’re determined to champion diversity and to break down the barriers that prevent this from happening. </w:t>
      </w:r>
    </w:p>
    <w:p w14:paraId="62183FA3" w14:textId="7AE3387E" w:rsidR="00BB03FD" w:rsidRDefault="00BB03FD" w:rsidP="00BB03FD">
      <w:r>
        <w:t>“A key focus for our work in 2022-23 was preparing ourselves and the arts sector for our major Arts Investment Review. Developing the principles which would underpin our decision</w:t>
      </w:r>
      <w:r w:rsidR="00B2379F">
        <w:t>-</w:t>
      </w:r>
      <w:r>
        <w:t xml:space="preserve">making process and the process we would follow to decide which organisations should be in receipt of future </w:t>
      </w:r>
      <w:proofErr w:type="spellStart"/>
      <w:r>
        <w:t>multi year</w:t>
      </w:r>
      <w:proofErr w:type="spellEnd"/>
      <w:r>
        <w:t xml:space="preserve"> funding from us and, most important, consulting on these with the sector and the public was a key action in our equality plan and our widening engagement action plan. Developing and launching a process that was fair, open and equal for all organisations wishing to apply for funding was a major objective. The Investment Review presented an opportunity to address the inequalities </w:t>
      </w:r>
      <w:r>
        <w:lastRenderedPageBreak/>
        <w:t>that have existed across the arts sector for some time. Whilst the outcome of the review would not be known until 2023-24, 2022-23 - the year currently under review, when the preparation was being done was significant in signalling change”.</w:t>
      </w:r>
    </w:p>
    <w:p w14:paraId="0827CE39" w14:textId="61BC62F6" w:rsidR="00BB03FD" w:rsidRPr="00054AEF" w:rsidRDefault="00BB03FD" w:rsidP="00BB03FD">
      <w:pPr>
        <w:rPr>
          <w:b/>
          <w:bCs/>
        </w:rPr>
      </w:pPr>
      <w:proofErr w:type="spellStart"/>
      <w:r w:rsidRPr="00054AEF">
        <w:rPr>
          <w:b/>
          <w:bCs/>
        </w:rPr>
        <w:t>Devinda</w:t>
      </w:r>
      <w:proofErr w:type="spellEnd"/>
      <w:r w:rsidRPr="00054AEF">
        <w:rPr>
          <w:b/>
          <w:bCs/>
        </w:rPr>
        <w:t xml:space="preserve"> De Silva, Chair, Strategic Equality Committee </w:t>
      </w:r>
    </w:p>
    <w:p w14:paraId="7A1F0618" w14:textId="77777777" w:rsidR="00BB03FD" w:rsidRDefault="00BB03FD" w:rsidP="005E6062">
      <w:pPr>
        <w:pStyle w:val="Heading2"/>
      </w:pPr>
      <w:r>
        <w:t>Our Equality Plan objectives</w:t>
      </w:r>
    </w:p>
    <w:p w14:paraId="1339B910" w14:textId="77777777" w:rsidR="00BB03FD" w:rsidRDefault="00BB03FD" w:rsidP="00082F77">
      <w:pPr>
        <w:spacing w:before="480" w:after="0"/>
      </w:pPr>
      <w:r>
        <w:t>Our 2020 -2024 plan has five objectives. These are:</w:t>
      </w:r>
    </w:p>
    <w:p w14:paraId="6B453223" w14:textId="0BF85340" w:rsidR="00BB03FD" w:rsidRDefault="00BB03FD" w:rsidP="00F11CF1">
      <w:pPr>
        <w:pStyle w:val="ListParagraph"/>
      </w:pPr>
      <w:r w:rsidRPr="008E39DC">
        <w:t>Engage</w:t>
      </w:r>
      <w:r>
        <w:t>, consult with and inform our partners and the communities we aim to reach and in so doing challenge and question our knowledge and experience.</w:t>
      </w:r>
    </w:p>
    <w:p w14:paraId="4165A696" w14:textId="6907E38B" w:rsidR="00BB03FD" w:rsidRDefault="00BB03FD" w:rsidP="00F11CF1">
      <w:pPr>
        <w:pStyle w:val="ListParagraph"/>
      </w:pPr>
      <w:r>
        <w:t>Develop a workforce that reflects the diversity of Wales by increasing the number of people with protected characteristics employed in the arts and represented in the governance of arts organisations.</w:t>
      </w:r>
    </w:p>
    <w:p w14:paraId="73C7486B" w14:textId="1F33EBEC" w:rsidR="00BB03FD" w:rsidRDefault="00BB03FD" w:rsidP="00F11CF1">
      <w:pPr>
        <w:pStyle w:val="ListParagraph"/>
      </w:pPr>
      <w:r>
        <w:lastRenderedPageBreak/>
        <w:t>Work to eliminate pay gaps across the arts sector and ensure fair and equal pay for all artists working in Wales.</w:t>
      </w:r>
    </w:p>
    <w:p w14:paraId="02E4FF6A" w14:textId="499DFEE8" w:rsidR="00BB03FD" w:rsidRDefault="00BB03FD" w:rsidP="00F11CF1">
      <w:pPr>
        <w:pStyle w:val="ListParagraph"/>
      </w:pPr>
      <w:r>
        <w:t>Increase the number of diverse artists and arts organisations accessing funding and support to create and present their own art on their own terms.</w:t>
      </w:r>
    </w:p>
    <w:p w14:paraId="26272A39" w14:textId="00D18606" w:rsidR="00BB03FD" w:rsidRDefault="00BB03FD" w:rsidP="00F11CF1">
      <w:pPr>
        <w:pStyle w:val="ListParagraph"/>
      </w:pPr>
      <w:r>
        <w:t>Increase the diversity of those engaging with the arts as audience members and creative participants.</w:t>
      </w:r>
    </w:p>
    <w:p w14:paraId="478BA6B3" w14:textId="77777777" w:rsidR="00BB03FD" w:rsidRDefault="00BB03FD" w:rsidP="00BB03FD">
      <w:r>
        <w:t xml:space="preserve">These five objectives cover all protected characteristics. However, when we published our new plan in </w:t>
      </w:r>
      <w:proofErr w:type="gramStart"/>
      <w:r>
        <w:t>2020</w:t>
      </w:r>
      <w:proofErr w:type="gramEnd"/>
      <w:r>
        <w:t xml:space="preserve"> we continued to give specific emphasis to increasing engagement amongst people from culturally and ethnically diverse backgrounds and deaf, disabled and neurodivergent people. </w:t>
      </w:r>
    </w:p>
    <w:p w14:paraId="35B92314" w14:textId="77777777" w:rsidR="003B1989" w:rsidRDefault="003B1989">
      <w:pPr>
        <w:spacing w:before="0" w:after="160" w:line="259" w:lineRule="auto"/>
        <w:rPr>
          <w:rFonts w:eastAsiaTheme="majorEastAsia" w:cstheme="majorBidi"/>
          <w:sz w:val="40"/>
          <w:szCs w:val="26"/>
        </w:rPr>
      </w:pPr>
      <w:r>
        <w:br w:type="page"/>
      </w:r>
    </w:p>
    <w:p w14:paraId="5386F146" w14:textId="099F0CC2" w:rsidR="00BB03FD" w:rsidRDefault="00BB03FD" w:rsidP="005E6062">
      <w:pPr>
        <w:pStyle w:val="Heading2"/>
      </w:pPr>
      <w:r>
        <w:lastRenderedPageBreak/>
        <w:t>What key actions did we progress this year?</w:t>
      </w:r>
    </w:p>
    <w:p w14:paraId="7AE2F8DF" w14:textId="6FBA0F99" w:rsidR="00BB03FD" w:rsidRDefault="00BB03FD" w:rsidP="00BB03FD">
      <w:r>
        <w:t xml:space="preserve">The Widening Engagement Action Plan was a primary focal point for our equalities work throughout the year. In partnership with </w:t>
      </w:r>
      <w:proofErr w:type="spellStart"/>
      <w:r>
        <w:t>Amgueddfa</w:t>
      </w:r>
      <w:proofErr w:type="spellEnd"/>
      <w:r>
        <w:t xml:space="preserve"> Cymru we established a joint taskforce with a focus on the anti</w:t>
      </w:r>
      <w:r w:rsidR="0030204C">
        <w:t>-</w:t>
      </w:r>
      <w:r>
        <w:t xml:space="preserve">racism actions within the plan. The Task Force met several times throughout the year and initiated key areas of work such as helping develop an approach to how we will undertake evaluation. </w:t>
      </w:r>
    </w:p>
    <w:p w14:paraId="7072792C" w14:textId="77777777" w:rsidR="00BB03FD" w:rsidRDefault="00BB03FD" w:rsidP="00BB03FD">
      <w:r>
        <w:t xml:space="preserve">We jointly commissioned </w:t>
      </w:r>
      <w:r w:rsidRPr="003B1989">
        <w:rPr>
          <w:b/>
          <w:bCs/>
        </w:rPr>
        <w:t>Richie Turner and Associates</w:t>
      </w:r>
      <w:r>
        <w:t xml:space="preserve"> to carry out a piece of work with disabled people to compile recommendations for proposed minimum standards of service provision for disabled people at venues, museums and arts spaces across Wales. The work has been looking at all areas of service delivery and audience experience including Marketing and Front of House, Pricing, Feedback Systems and Training. This work will help inform our expectations for clients throughout the sector whether an arts centre, performance space or gallery, and along with </w:t>
      </w:r>
      <w:proofErr w:type="spellStart"/>
      <w:r>
        <w:t>Hynt</w:t>
      </w:r>
      <w:proofErr w:type="spellEnd"/>
      <w:r>
        <w:t xml:space="preserve"> will </w:t>
      </w:r>
      <w:r>
        <w:lastRenderedPageBreak/>
        <w:t xml:space="preserve">help us increase accessibility for disabled people in Wales to engage with the arts. </w:t>
      </w:r>
    </w:p>
    <w:p w14:paraId="729F780E" w14:textId="77777777" w:rsidR="00BB03FD" w:rsidRDefault="00BB03FD" w:rsidP="00BB03FD">
      <w:r>
        <w:t xml:space="preserve">Since it was launched in 2015, </w:t>
      </w:r>
      <w:proofErr w:type="spellStart"/>
      <w:r>
        <w:t>Hynt</w:t>
      </w:r>
      <w:proofErr w:type="spellEnd"/>
      <w:r>
        <w:t xml:space="preserve"> has gone from to strength to strength, establishing itself as an increasingly popular membership scheme for disabled visitors. The key aim is to guarantee card holders and their personal assistants/companions a consistent offer at venue members across Wales. During 2022-23 there were 40 venue members and 4 new associate members including Margam Country Park and the International Conference Centre Cardiff, with a good geographical spread across all Counties. </w:t>
      </w:r>
    </w:p>
    <w:p w14:paraId="6ACDA0A7" w14:textId="77777777" w:rsidR="00BB03FD" w:rsidRDefault="00BB03FD" w:rsidP="00BB03FD">
      <w:r>
        <w:t>Over 5,000 cards were issued in the first year of operation (2015-16) and numbers of new cards issued remained at around 3,000 until the pandemic when venues closed to the public. During 2022-23 applications for membership have risen again to over 5,000, and the total number of cards issued to end of March 2023 totalled 27,241.</w:t>
      </w:r>
    </w:p>
    <w:p w14:paraId="6D991256" w14:textId="1BD43F45" w:rsidR="00BB03FD" w:rsidRDefault="00BB03FD" w:rsidP="00BB03FD">
      <w:r>
        <w:lastRenderedPageBreak/>
        <w:t xml:space="preserve">As part of the UK Wide Access Card Initiative – a partnership between ourselves and the other UK Arts Councils, in late 2022 Andrew Miller was appointed as the UK Access Card Champion commissioned by us on behalf of the partnership. He began work in 2023 to lead on (amongst other things) high level advocacy and partnership </w:t>
      </w:r>
      <w:proofErr w:type="gramStart"/>
      <w:r>
        <w:t>forming, and</w:t>
      </w:r>
      <w:proofErr w:type="gramEnd"/>
      <w:r>
        <w:t xml:space="preserve"> advising the Project Oversight Group (external members) and Partners Advisory Group.</w:t>
      </w:r>
      <w:r w:rsidR="00300993">
        <w:t xml:space="preserve"> </w:t>
      </w:r>
      <w:r>
        <w:t xml:space="preserve">Creu Cymru were also commissioned to carry out research on the impact of </w:t>
      </w:r>
      <w:proofErr w:type="spellStart"/>
      <w:r>
        <w:t>Hynt</w:t>
      </w:r>
      <w:proofErr w:type="spellEnd"/>
      <w:r>
        <w:t xml:space="preserve"> on cardholders. Independently researched and written by Abigail Tweed of Milestone Tweed, and Mark Richardson, the report was funded by Arts Council England. 1,522 </w:t>
      </w:r>
      <w:proofErr w:type="spellStart"/>
      <w:r>
        <w:t>Hynt</w:t>
      </w:r>
      <w:proofErr w:type="spellEnd"/>
      <w:r>
        <w:t xml:space="preserve"> cardholders responded to an online survey and </w:t>
      </w:r>
      <w:proofErr w:type="spellStart"/>
      <w:r>
        <w:t>Hynt</w:t>
      </w:r>
      <w:proofErr w:type="spellEnd"/>
      <w:r>
        <w:t xml:space="preserve"> venues were also surveyed. Some of the results from the survey are shared below.</w:t>
      </w:r>
    </w:p>
    <w:p w14:paraId="24616E32" w14:textId="0C02B234" w:rsidR="00BB03FD" w:rsidRDefault="00BB03FD" w:rsidP="00BB03FD">
      <w:r>
        <w:t xml:space="preserve">Along with </w:t>
      </w:r>
      <w:proofErr w:type="spellStart"/>
      <w:r>
        <w:t>Amgueddfa</w:t>
      </w:r>
      <w:proofErr w:type="spellEnd"/>
      <w:r>
        <w:t xml:space="preserve"> Cymru</w:t>
      </w:r>
      <w:r w:rsidR="002D3A45">
        <w:t xml:space="preserve">, </w:t>
      </w:r>
      <w:r>
        <w:t xml:space="preserve">we were successful in receiving funding for a project aimed at taking forward actions within the plan that specifically deliver against the Welsh Government’s Anti-racist Wales Action Plan is in place. The funding offer from Welsh Government will </w:t>
      </w:r>
      <w:r>
        <w:lastRenderedPageBreak/>
        <w:t xml:space="preserve">support grants to seven galleries to co create/commission exhibitions with artists and communities with lived experience. We subsequently put a call out at the end of February 2023 for venues to participate in the </w:t>
      </w:r>
      <w:proofErr w:type="spellStart"/>
      <w:r>
        <w:t>Safbwynt</w:t>
      </w:r>
      <w:proofErr w:type="spellEnd"/>
      <w:r>
        <w:t>(</w:t>
      </w:r>
      <w:proofErr w:type="spellStart"/>
      <w:r>
        <w:t>iau</w:t>
      </w:r>
      <w:proofErr w:type="spellEnd"/>
      <w:r>
        <w:t xml:space="preserve">) / Perspective(s) programme which attracted 15 Expressions of Interest and 7 galleries/visual arts organisations were offered funding. The galleries were matched with the </w:t>
      </w:r>
      <w:proofErr w:type="spellStart"/>
      <w:r>
        <w:t>Amgueddfa</w:t>
      </w:r>
      <w:proofErr w:type="spellEnd"/>
      <w:r>
        <w:t xml:space="preserve"> Cymru museums and together they commissioned creative practitioners to act as agents for change and develop new creative displays. This programme of work will continue until the end of 2024-25.</w:t>
      </w:r>
    </w:p>
    <w:p w14:paraId="48CD3EDE" w14:textId="77777777" w:rsidR="00BB03FD" w:rsidRDefault="00BB03FD" w:rsidP="00BB03FD">
      <w:r>
        <w:t xml:space="preserve">We completed the work on reviewing and revising our </w:t>
      </w:r>
      <w:r w:rsidRPr="003B1989">
        <w:rPr>
          <w:b/>
          <w:bCs/>
        </w:rPr>
        <w:t>Creative Steps</w:t>
      </w:r>
      <w:r>
        <w:t xml:space="preserve"> scheme and launched the new scheme in November 2022. This included a new strand for individual artists to apply for support to develop their business and development journey. The scheme includes an increased flexibility of approach, together with mentoring and enhanced support for organisations and individuals. Financial investment in the programme </w:t>
      </w:r>
      <w:r>
        <w:lastRenderedPageBreak/>
        <w:t xml:space="preserve">was increased, and Associates were recruited to provide support to artists during the project development process. </w:t>
      </w:r>
    </w:p>
    <w:p w14:paraId="04F1A82A" w14:textId="6FC22A03" w:rsidR="00BB03FD" w:rsidRDefault="00BB03FD" w:rsidP="00BB03FD">
      <w:r>
        <w:t xml:space="preserve">Our </w:t>
      </w:r>
      <w:hyperlink r:id="rId13" w:history="1">
        <w:r w:rsidRPr="001D7140">
          <w:rPr>
            <w:rStyle w:val="Hyperlink"/>
          </w:rPr>
          <w:t>Agent for Change, Andrew Ogun published a video report on his first year in post</w:t>
        </w:r>
      </w:hyperlink>
      <w:r>
        <w:t xml:space="preserve"> outlining the key areas of work he had taken forward within both the Arts Council itself and the sector more widely.</w:t>
      </w:r>
      <w:r w:rsidR="00300993">
        <w:t xml:space="preserve"> </w:t>
      </w:r>
    </w:p>
    <w:p w14:paraId="45CCFABF" w14:textId="5744C475" w:rsidR="00BB03FD" w:rsidRDefault="00BB03FD" w:rsidP="00BB03FD">
      <w:r>
        <w:t xml:space="preserve">These included contributing to the review of Creative Steps, supporting the development of Perspective(s) and providing key, strategic insight in the development of the Investment Review process. He also led on establishing a series of training and development sessions for all Arts Council of Wales staff and members of the Council. These included unconscious bias in relation to race and LGBTQ+, Inclusion training and training on neuro divergence. The Agent for Change also introduced a series of “Candid Conversations” which created safe spaces for staff to discuss a variety of issues. He also represented the Arts Council at several key events nationally and internationally and </w:t>
      </w:r>
      <w:r>
        <w:lastRenderedPageBreak/>
        <w:t xml:space="preserve">importantly shared his experience and expertise with a number of external organisations and partners that are currently on a similar journey to </w:t>
      </w:r>
      <w:proofErr w:type="gramStart"/>
      <w:r>
        <w:t>ourselves</w:t>
      </w:r>
      <w:proofErr w:type="gramEnd"/>
      <w:r>
        <w:t>.</w:t>
      </w:r>
      <w:r w:rsidR="00300993">
        <w:t xml:space="preserve"> </w:t>
      </w:r>
    </w:p>
    <w:p w14:paraId="684CF2D7" w14:textId="00CB15AF" w:rsidR="002D3A45" w:rsidRDefault="00BB03FD" w:rsidP="00BB03FD">
      <w:r>
        <w:t>In preparation for our planned 2023-24 Investment Review a focus for us in this financial year was consultation on our proposals for how we would undertake the review. The consultation included exploration of the core principles that would underpin the review and our proposed approach to application and future funding models. Widening Engagement was one of the core principles that would be at the heart of future investment in the arts. The application process closed on 31st March 2023 and 140 applications were received. The assessment process was due to begin in mid-April 2023 and conclude with a meeting of the Council in the September.</w:t>
      </w:r>
    </w:p>
    <w:p w14:paraId="0A0B9CF7" w14:textId="77777777" w:rsidR="002D3A45" w:rsidRDefault="002D3A45">
      <w:pPr>
        <w:spacing w:before="0" w:after="160" w:line="259" w:lineRule="auto"/>
      </w:pPr>
      <w:r>
        <w:br w:type="page"/>
      </w:r>
    </w:p>
    <w:p w14:paraId="33FDBFAC" w14:textId="1A4AFFF2" w:rsidR="001842DA" w:rsidRDefault="001842DA" w:rsidP="001E1328">
      <w:pPr>
        <w:pStyle w:val="Heading3"/>
      </w:pPr>
      <w:r>
        <w:lastRenderedPageBreak/>
        <w:t xml:space="preserve">Creative Steps Case Study: Urban Circle </w:t>
      </w:r>
    </w:p>
    <w:p w14:paraId="5E0DEE17" w14:textId="011EA0CD" w:rsidR="001842DA" w:rsidRDefault="001842DA" w:rsidP="001842DA">
      <w:r>
        <w:t>Urban Circle Newport is an established charity providing creative activities, supporting young people and producing large-scale community events and festivals, including the acclaimed Reggae Riddim Festival. G Expressions is a groundbreaking performing arts company bringing dance, drama and musical theatre to the streets of Newport. Creative Step's investment ensured the merging of these two unique organisations with a shared ambition to solidify their position as the go-to creative youth development organisation in Newport – a place where young people of all backgrounds can come together, get creative and improve their prospects in a safe and nurturing environment.</w:t>
      </w:r>
    </w:p>
    <w:p w14:paraId="5773C4F7" w14:textId="77777777" w:rsidR="001842DA" w:rsidRDefault="001842DA" w:rsidP="001842DA">
      <w:r>
        <w:t xml:space="preserve">“The Creative Steps programme helped to develop our 1st draft of our business plan, create the right organisational structure (reincorporate G-Expressions) model and financial plan to help us grow and address the needs of the young people in Newport sustainably.” </w:t>
      </w:r>
    </w:p>
    <w:p w14:paraId="0F58250E" w14:textId="77777777" w:rsidR="001842DA" w:rsidRDefault="001842DA" w:rsidP="001842DA">
      <w:r>
        <w:lastRenderedPageBreak/>
        <w:t xml:space="preserve">Urban Circle worked closely with experienced consultant Lawrence </w:t>
      </w:r>
      <w:proofErr w:type="spellStart"/>
      <w:r>
        <w:t>Becko</w:t>
      </w:r>
      <w:proofErr w:type="spellEnd"/>
      <w:r>
        <w:t>, who has been delivering business consultancy for Arts Council of Wales Creative Steps over the last five years. He oversaw the business development programme and supported team members. Additional consultants were recruited to support with financial management, fundraising, website development, evaluation and the feasibility study.</w:t>
      </w:r>
    </w:p>
    <w:p w14:paraId="43923E16" w14:textId="77777777" w:rsidR="001842DA" w:rsidRDefault="001842DA" w:rsidP="001842DA">
      <w:r>
        <w:t xml:space="preserve">Working collaboratively, the organisations were able to: </w:t>
      </w:r>
    </w:p>
    <w:p w14:paraId="5C64AE14" w14:textId="69EE5A25" w:rsidR="001842DA" w:rsidRDefault="001842DA" w:rsidP="00F11CF1">
      <w:pPr>
        <w:pStyle w:val="ListParagraph"/>
      </w:pPr>
      <w:r>
        <w:t>Action the merger of the two organisations (UCN &amp; GX)</w:t>
      </w:r>
      <w:r w:rsidR="00AD29C1">
        <w:t>.</w:t>
      </w:r>
      <w:r>
        <w:t xml:space="preserve"> </w:t>
      </w:r>
    </w:p>
    <w:p w14:paraId="1D77182C" w14:textId="7D809D3A" w:rsidR="001842DA" w:rsidRDefault="0011638E" w:rsidP="00F11CF1">
      <w:pPr>
        <w:pStyle w:val="ListParagraph"/>
      </w:pPr>
      <w:r>
        <w:t>E</w:t>
      </w:r>
      <w:r w:rsidR="001842DA">
        <w:t xml:space="preserve">nsure that everyone was fit and able to deliver on this new scheme of work, including ensuring good mental health among the team through regular supervision and support. </w:t>
      </w:r>
    </w:p>
    <w:p w14:paraId="7CE720D4" w14:textId="78052537" w:rsidR="001842DA" w:rsidRDefault="001842DA" w:rsidP="00F11CF1">
      <w:pPr>
        <w:pStyle w:val="ListParagraph"/>
      </w:pPr>
      <w:r>
        <w:t xml:space="preserve">Develop the team's capacity to build new relationships with potential customers for the Reggae &amp; Riddim festival and to build new </w:t>
      </w:r>
      <w:r>
        <w:lastRenderedPageBreak/>
        <w:t>partnerships with commissioners such as government, public health and youth agencies to increase scale and reach more young people, including Welsh-speaking audiences</w:t>
      </w:r>
      <w:r w:rsidR="00AD29C1">
        <w:t>.</w:t>
      </w:r>
      <w:r>
        <w:t xml:space="preserve"> </w:t>
      </w:r>
    </w:p>
    <w:p w14:paraId="3424BF49" w14:textId="4F030F11" w:rsidR="001842DA" w:rsidRDefault="001842DA" w:rsidP="001842DA">
      <w:r>
        <w:t>Highlights &amp; key learning included developing understanding in the fields of disability and mental health, working closely with Little People UK and Platform Wales and employing team members with relevant lived experience.</w:t>
      </w:r>
    </w:p>
    <w:p w14:paraId="4365E873" w14:textId="77777777" w:rsidR="001842DA" w:rsidRDefault="001842DA">
      <w:pPr>
        <w:spacing w:before="0" w:after="160" w:line="259" w:lineRule="auto"/>
      </w:pPr>
      <w:r>
        <w:br w:type="page"/>
      </w:r>
    </w:p>
    <w:p w14:paraId="3F2FFD44" w14:textId="77777777" w:rsidR="00DE7126" w:rsidRDefault="00DE7126" w:rsidP="00E2196C">
      <w:pPr>
        <w:pStyle w:val="Heading3"/>
      </w:pPr>
      <w:r>
        <w:lastRenderedPageBreak/>
        <w:t>Our key actions included:</w:t>
      </w:r>
    </w:p>
    <w:p w14:paraId="2CE5BC7D" w14:textId="7A5EADB6" w:rsidR="00DE7126" w:rsidRDefault="00DE7126" w:rsidP="00F11CF1">
      <w:pPr>
        <w:pStyle w:val="ListParagraph"/>
      </w:pPr>
      <w:r w:rsidRPr="00F11CF1">
        <w:t xml:space="preserve">Arts Council of Wales organised a series of workshops open to both internal and external participants to look at our branding </w:t>
      </w:r>
      <w:r>
        <w:t>and brand values with the intention to rebrand the organisation if needed to better reflect contemporary Wales.</w:t>
      </w:r>
    </w:p>
    <w:p w14:paraId="40DAFF79" w14:textId="479D2608" w:rsidR="00DE7126" w:rsidRDefault="00DE7126" w:rsidP="00F11CF1">
      <w:pPr>
        <w:pStyle w:val="ListParagraph"/>
      </w:pPr>
      <w:r w:rsidRPr="00F11CF1">
        <w:t xml:space="preserve">Between the launch of the revised </w:t>
      </w:r>
      <w:r w:rsidRPr="005510C4">
        <w:rPr>
          <w:b/>
          <w:bCs/>
        </w:rPr>
        <w:t xml:space="preserve">Creative Steps </w:t>
      </w:r>
      <w:r w:rsidRPr="00F11CF1">
        <w:t>scheme in November 2022 and the end of March 2023 we received 19 applications and offered 12 grants totalling</w:t>
      </w:r>
      <w:r>
        <w:t xml:space="preserve"> £537,692.</w:t>
      </w:r>
    </w:p>
    <w:p w14:paraId="68B0379E" w14:textId="1C99B8CA" w:rsidR="00DE7126" w:rsidRDefault="00DE7126" w:rsidP="00F11CF1">
      <w:pPr>
        <w:pStyle w:val="ListParagraph"/>
      </w:pPr>
      <w:r>
        <w:t xml:space="preserve">Our Agent for Change worked on the development of </w:t>
      </w:r>
      <w:r w:rsidRPr="005510C4">
        <w:rPr>
          <w:b/>
          <w:bCs/>
        </w:rPr>
        <w:t>New Heights</w:t>
      </w:r>
      <w:r>
        <w:t xml:space="preserve"> in partnership with </w:t>
      </w:r>
      <w:proofErr w:type="spellStart"/>
      <w:r>
        <w:t>Amgueddfa</w:t>
      </w:r>
      <w:proofErr w:type="spellEnd"/>
      <w:r>
        <w:t xml:space="preserve"> Cymru, a monthly series of events to Black creatives and their work. </w:t>
      </w:r>
    </w:p>
    <w:p w14:paraId="3A212FE4" w14:textId="145CD703" w:rsidR="00DE7126" w:rsidRDefault="00DE7126" w:rsidP="00F11CF1">
      <w:pPr>
        <w:pStyle w:val="ListParagraph"/>
      </w:pPr>
      <w:r>
        <w:t xml:space="preserve">Our Agent for Change also worked in collaboration with PRSF and Creative Wales on developing Power Up, an ambitious, long-term initiative supporting Black music creators and industry professionals and executives, as well as addressing anti-Black </w:t>
      </w:r>
      <w:r>
        <w:lastRenderedPageBreak/>
        <w:t>racism and racial disparities in the music sector. The culmination of this work will be a Welsh Black Music Action Group who will work as a taskforce to drive this change forward, chaired by Andrew.</w:t>
      </w:r>
    </w:p>
    <w:p w14:paraId="2771D0E0" w14:textId="6FA14DBA" w:rsidR="00DE7126" w:rsidRDefault="00DE7126" w:rsidP="00F11CF1">
      <w:pPr>
        <w:pStyle w:val="ListParagraph"/>
      </w:pPr>
      <w:r w:rsidRPr="005510C4">
        <w:t>The</w:t>
      </w:r>
      <w:r w:rsidR="000576AF">
        <w:t xml:space="preserve"> research commissioned as part of the </w:t>
      </w:r>
      <w:r w:rsidR="000576AF" w:rsidRPr="000576AF">
        <w:rPr>
          <w:b/>
          <w:bCs/>
        </w:rPr>
        <w:t>UK Wide Access Card Initiative</w:t>
      </w:r>
      <w:r w:rsidR="000576AF">
        <w:t>,</w:t>
      </w:r>
      <w:r w:rsidRPr="00FF2A05">
        <w:rPr>
          <w:color w:val="FF0000"/>
        </w:rPr>
        <w:t xml:space="preserve"> </w:t>
      </w:r>
      <w:hyperlink r:id="rId14" w:history="1">
        <w:r w:rsidRPr="00B56002">
          <w:rPr>
            <w:rStyle w:val="Hyperlink"/>
          </w:rPr>
          <w:t xml:space="preserve">to explore the impact of </w:t>
        </w:r>
        <w:proofErr w:type="spellStart"/>
        <w:r w:rsidRPr="000576AF">
          <w:rPr>
            <w:rStyle w:val="Hyperlink"/>
            <w:b/>
            <w:bCs/>
          </w:rPr>
          <w:t>Hynt</w:t>
        </w:r>
        <w:proofErr w:type="spellEnd"/>
        <w:r w:rsidRPr="00B56002">
          <w:rPr>
            <w:rStyle w:val="Hyperlink"/>
          </w:rPr>
          <w:t xml:space="preserve"> on cardholders</w:t>
        </w:r>
      </w:hyperlink>
      <w:r>
        <w:t xml:space="preserve"> was comp</w:t>
      </w:r>
      <w:r w:rsidR="00B56002">
        <w:t>l</w:t>
      </w:r>
      <w:r>
        <w:t>eted and key messages shared.</w:t>
      </w:r>
      <w:r w:rsidR="00300993">
        <w:t xml:space="preserve"> </w:t>
      </w:r>
    </w:p>
    <w:p w14:paraId="0D83E15F" w14:textId="04EE1ACF" w:rsidR="00DE7126" w:rsidRDefault="00DE7126" w:rsidP="00F11CF1">
      <w:pPr>
        <w:pStyle w:val="ListParagraph"/>
      </w:pPr>
      <w:r>
        <w:t xml:space="preserve">These included the following key headlines: </w:t>
      </w:r>
    </w:p>
    <w:p w14:paraId="4D85876A" w14:textId="6FC37A04" w:rsidR="00DE7126" w:rsidRDefault="00DE7126" w:rsidP="005D6CC2">
      <w:pPr>
        <w:pStyle w:val="ListParagraph"/>
        <w:numPr>
          <w:ilvl w:val="0"/>
          <w:numId w:val="9"/>
        </w:numPr>
        <w:ind w:left="1418" w:hanging="643"/>
      </w:pPr>
      <w:r>
        <w:t xml:space="preserve">76% of cardholders said being part of </w:t>
      </w:r>
      <w:proofErr w:type="spellStart"/>
      <w:r>
        <w:t>Hynt</w:t>
      </w:r>
      <w:proofErr w:type="spellEnd"/>
      <w:r>
        <w:t xml:space="preserve"> improved their access to culture.</w:t>
      </w:r>
    </w:p>
    <w:p w14:paraId="16A8DCDB" w14:textId="78719EC5" w:rsidR="00DE7126" w:rsidRDefault="00DE7126" w:rsidP="005D6CC2">
      <w:pPr>
        <w:pStyle w:val="ListParagraph"/>
        <w:numPr>
          <w:ilvl w:val="0"/>
          <w:numId w:val="9"/>
        </w:numPr>
        <w:ind w:left="1418" w:hanging="643"/>
      </w:pPr>
      <w:r>
        <w:t xml:space="preserve">73% of cardholders report that </w:t>
      </w:r>
      <w:proofErr w:type="spellStart"/>
      <w:r>
        <w:t>Hynt</w:t>
      </w:r>
      <w:proofErr w:type="spellEnd"/>
      <w:r>
        <w:t xml:space="preserve"> has improved their quality of life</w:t>
      </w:r>
      <w:r w:rsidR="00AD29C1">
        <w:t>.</w:t>
      </w:r>
    </w:p>
    <w:p w14:paraId="672D6DE3" w14:textId="7004BB35" w:rsidR="00DE7126" w:rsidRDefault="00DE7126" w:rsidP="005D6CC2">
      <w:pPr>
        <w:pStyle w:val="ListParagraph"/>
        <w:numPr>
          <w:ilvl w:val="0"/>
          <w:numId w:val="9"/>
        </w:numPr>
        <w:ind w:left="1418" w:hanging="643"/>
      </w:pPr>
      <w:r>
        <w:t>72% of cardholders want to use their cards outside of Wales</w:t>
      </w:r>
      <w:r w:rsidR="00AD29C1">
        <w:t>.</w:t>
      </w:r>
    </w:p>
    <w:p w14:paraId="54DD7D5F" w14:textId="008EC962" w:rsidR="00DE7126" w:rsidRDefault="00DE7126" w:rsidP="005D6CC2">
      <w:pPr>
        <w:pStyle w:val="ListParagraph"/>
        <w:numPr>
          <w:ilvl w:val="0"/>
          <w:numId w:val="9"/>
        </w:numPr>
        <w:ind w:left="1418" w:hanging="643"/>
      </w:pPr>
      <w:r>
        <w:t xml:space="preserve">59% of cardholders report improved self-confidence through </w:t>
      </w:r>
      <w:proofErr w:type="spellStart"/>
      <w:r>
        <w:t>Hynt</w:t>
      </w:r>
      <w:proofErr w:type="spellEnd"/>
      <w:r w:rsidR="00AD29C1">
        <w:t>.</w:t>
      </w:r>
    </w:p>
    <w:p w14:paraId="501F9288" w14:textId="00D06216" w:rsidR="00DE7126" w:rsidRDefault="00DE7126" w:rsidP="005D6CC2">
      <w:pPr>
        <w:pStyle w:val="ListParagraph"/>
        <w:numPr>
          <w:ilvl w:val="0"/>
          <w:numId w:val="9"/>
        </w:numPr>
        <w:ind w:left="1418" w:hanging="643"/>
      </w:pPr>
      <w:r>
        <w:t xml:space="preserve">81% of cardholders report </w:t>
      </w:r>
      <w:proofErr w:type="spellStart"/>
      <w:r>
        <w:t>Hynt</w:t>
      </w:r>
      <w:proofErr w:type="spellEnd"/>
      <w:r>
        <w:t xml:space="preserve"> increases their social interactions</w:t>
      </w:r>
      <w:r w:rsidR="00AD29C1">
        <w:t>.</w:t>
      </w:r>
    </w:p>
    <w:p w14:paraId="66455042" w14:textId="554FA349" w:rsidR="00DE7126" w:rsidRDefault="00DE7126" w:rsidP="005D6CC2">
      <w:pPr>
        <w:pStyle w:val="ListParagraph"/>
        <w:numPr>
          <w:ilvl w:val="0"/>
          <w:numId w:val="9"/>
        </w:numPr>
        <w:ind w:left="1418" w:hanging="643"/>
      </w:pPr>
      <w:r>
        <w:lastRenderedPageBreak/>
        <w:t>144,000 more theatre visits across Wales, half being full price tickets</w:t>
      </w:r>
      <w:r w:rsidR="00AD29C1">
        <w:t>.</w:t>
      </w:r>
    </w:p>
    <w:p w14:paraId="0C24E08D" w14:textId="6B37FCD2" w:rsidR="00DE7126" w:rsidRDefault="00DE7126" w:rsidP="005D6CC2">
      <w:pPr>
        <w:pStyle w:val="ListParagraph"/>
        <w:numPr>
          <w:ilvl w:val="0"/>
          <w:numId w:val="9"/>
        </w:numPr>
        <w:ind w:left="1418" w:hanging="643"/>
      </w:pPr>
      <w:r>
        <w:t xml:space="preserve">58% of cardholders said they had visited a new venue </w:t>
      </w:r>
      <w:proofErr w:type="gramStart"/>
      <w:r>
        <w:t>as a result of</w:t>
      </w:r>
      <w:proofErr w:type="gramEnd"/>
      <w:r>
        <w:t xml:space="preserve"> </w:t>
      </w:r>
      <w:proofErr w:type="spellStart"/>
      <w:r>
        <w:t>Hynt</w:t>
      </w:r>
      <w:proofErr w:type="spellEnd"/>
      <w:r w:rsidR="00AD29C1">
        <w:t>.</w:t>
      </w:r>
    </w:p>
    <w:p w14:paraId="7DC73C43" w14:textId="5DEAF8F3" w:rsidR="00DE7126" w:rsidRDefault="00DE7126" w:rsidP="005D6CC2">
      <w:pPr>
        <w:pStyle w:val="ListParagraph"/>
        <w:numPr>
          <w:ilvl w:val="0"/>
          <w:numId w:val="9"/>
        </w:numPr>
        <w:ind w:left="1418" w:hanging="643"/>
      </w:pPr>
      <w:r>
        <w:t xml:space="preserve">56% of cardholders report a better welcome at venues </w:t>
      </w:r>
      <w:proofErr w:type="gramStart"/>
      <w:r>
        <w:t>as a result of</w:t>
      </w:r>
      <w:proofErr w:type="gramEnd"/>
      <w:r>
        <w:t xml:space="preserve"> </w:t>
      </w:r>
      <w:proofErr w:type="spellStart"/>
      <w:r>
        <w:t>Hynt</w:t>
      </w:r>
      <w:proofErr w:type="spellEnd"/>
      <w:r w:rsidR="00AD29C1">
        <w:t>.</w:t>
      </w:r>
    </w:p>
    <w:p w14:paraId="5F5FDBA3" w14:textId="6B9302F8" w:rsidR="00DE7126" w:rsidRDefault="00DE7126" w:rsidP="005D6CC2">
      <w:pPr>
        <w:pStyle w:val="ListParagraph"/>
        <w:numPr>
          <w:ilvl w:val="0"/>
          <w:numId w:val="9"/>
        </w:numPr>
        <w:ind w:left="1418" w:hanging="643"/>
      </w:pPr>
      <w:r>
        <w:t>Every free companion ticket issued generates £23.53 additional revenue spend for venues</w:t>
      </w:r>
    </w:p>
    <w:p w14:paraId="7B79DB72" w14:textId="1A5D7B70" w:rsidR="00DE7126" w:rsidRDefault="00DE7126" w:rsidP="005D6CC2">
      <w:pPr>
        <w:pStyle w:val="ListParagraph"/>
        <w:numPr>
          <w:ilvl w:val="0"/>
          <w:numId w:val="9"/>
        </w:numPr>
        <w:ind w:left="1418" w:hanging="643"/>
      </w:pPr>
      <w:r>
        <w:t xml:space="preserve">Local economies surrounding </w:t>
      </w:r>
      <w:proofErr w:type="spellStart"/>
      <w:r>
        <w:t>Hynt</w:t>
      </w:r>
      <w:proofErr w:type="spellEnd"/>
      <w:r>
        <w:t xml:space="preserve"> venues benefit by £3k a year</w:t>
      </w:r>
      <w:r w:rsidR="00AD29C1">
        <w:t>.</w:t>
      </w:r>
    </w:p>
    <w:p w14:paraId="0CE49F73" w14:textId="0F554684" w:rsidR="00DE7126" w:rsidRDefault="00DE7126" w:rsidP="005D6CC2">
      <w:pPr>
        <w:pStyle w:val="ListParagraph"/>
        <w:numPr>
          <w:ilvl w:val="0"/>
          <w:numId w:val="9"/>
        </w:numPr>
        <w:ind w:left="1418" w:hanging="643"/>
      </w:pPr>
      <w:r>
        <w:t xml:space="preserve">For every £1 of public money spent on </w:t>
      </w:r>
      <w:proofErr w:type="spellStart"/>
      <w:r>
        <w:t>Hynt</w:t>
      </w:r>
      <w:proofErr w:type="spellEnd"/>
      <w:r>
        <w:t>, £6.05 is created in social value</w:t>
      </w:r>
      <w:r w:rsidR="00AD29C1">
        <w:t>.</w:t>
      </w:r>
    </w:p>
    <w:p w14:paraId="39C5BC25" w14:textId="0668B5EB" w:rsidR="00DE7126" w:rsidRDefault="00DE7126" w:rsidP="00F11CF1">
      <w:pPr>
        <w:pStyle w:val="ListParagraph"/>
      </w:pPr>
      <w:r>
        <w:t xml:space="preserve">The Arts Council’s Creative learning programme </w:t>
      </w:r>
      <w:proofErr w:type="spellStart"/>
      <w:r>
        <w:t>Cynefin</w:t>
      </w:r>
      <w:proofErr w:type="spellEnd"/>
      <w:r>
        <w:t xml:space="preserve"> delivered a second phase of projects in schools. There are a total of 42 schools in this phase, making the total number of schools 67. </w:t>
      </w:r>
    </w:p>
    <w:p w14:paraId="4675187A" w14:textId="7A30E99A" w:rsidR="00DE7126" w:rsidRDefault="00DE7126" w:rsidP="00F11CF1">
      <w:pPr>
        <w:pStyle w:val="ListParagraph"/>
      </w:pPr>
      <w:r>
        <w:t xml:space="preserve">Arts Council of Wales increased the pool of Arts Associates it is now able to call on to participate in the development of programmes of work and </w:t>
      </w:r>
      <w:r>
        <w:lastRenderedPageBreak/>
        <w:t>importantly in our funding decision process. There are now 260 Associates. The next stage will be to recruit Young Associates to help develop our funding schemes for young people and be involved in decision-making.</w:t>
      </w:r>
    </w:p>
    <w:p w14:paraId="4104E958" w14:textId="3632B14F" w:rsidR="00DE7126" w:rsidRDefault="00DE7126" w:rsidP="00F11CF1">
      <w:pPr>
        <w:pStyle w:val="ListParagraph"/>
      </w:pPr>
      <w:r>
        <w:t xml:space="preserve">We worked closely with </w:t>
      </w:r>
      <w:proofErr w:type="spellStart"/>
      <w:r>
        <w:t>Amgueddfa</w:t>
      </w:r>
      <w:proofErr w:type="spellEnd"/>
      <w:r>
        <w:t xml:space="preserve"> Cymru’s HR Manager to explore ideas on how we might work together to break down barriers preventing applicants from ethnically and culturally diverse backgrounds as well as disabled people and those from low socioeconomic areas/areas of high unemployment. This included holding meetings with other bodies such as Careers Wales.</w:t>
      </w:r>
    </w:p>
    <w:p w14:paraId="7478A0B8" w14:textId="014CE41B" w:rsidR="00DE7126" w:rsidRDefault="00DE7126" w:rsidP="00F11CF1">
      <w:pPr>
        <w:pStyle w:val="ListParagraph"/>
      </w:pPr>
      <w:r>
        <w:t xml:space="preserve">In the previous year we had provided funding for The Romani Cultural and Arts Company to undertake research that would lead to the creation of a resource on widening engagement in the arts for the Gypsy Roma Travellers community in Wales. This work was completed in this year and the final report launched in October 2022. </w:t>
      </w:r>
      <w:hyperlink r:id="rId15" w:history="1">
        <w:r w:rsidRPr="00A21E02">
          <w:rPr>
            <w:rStyle w:val="Hyperlink"/>
          </w:rPr>
          <w:t xml:space="preserve">The report, Sites </w:t>
        </w:r>
        <w:r w:rsidRPr="00A21E02">
          <w:rPr>
            <w:rStyle w:val="Hyperlink"/>
          </w:rPr>
          <w:lastRenderedPageBreak/>
          <w:t>of Inclusion</w:t>
        </w:r>
      </w:hyperlink>
      <w:r>
        <w:t>, was subsequently published on the Romani Cultural and Arts Company website.</w:t>
      </w:r>
    </w:p>
    <w:p w14:paraId="52BAA52F" w14:textId="1E80ECA7" w:rsidR="00DE7126" w:rsidRDefault="00A21E02" w:rsidP="00F11CF1">
      <w:pPr>
        <w:pStyle w:val="ListParagraph"/>
      </w:pPr>
      <w:r>
        <w:t>L</w:t>
      </w:r>
      <w:r w:rsidR="00DE7126">
        <w:t xml:space="preserve">ine managers also attended recruitment workshops delivered by </w:t>
      </w:r>
      <w:proofErr w:type="spellStart"/>
      <w:r w:rsidR="00DE7126">
        <w:t>Chwarae</w:t>
      </w:r>
      <w:proofErr w:type="spellEnd"/>
      <w:r w:rsidR="00DE7126">
        <w:t xml:space="preserve"> Teg. The workshops included a comprehensive section on conscious and unconscious bias during the recruitment process.</w:t>
      </w:r>
      <w:r w:rsidR="00300993">
        <w:t xml:space="preserve"> </w:t>
      </w:r>
    </w:p>
    <w:p w14:paraId="21297891" w14:textId="7EB8A272" w:rsidR="003C2DF8" w:rsidRDefault="00DE7126" w:rsidP="00F11CF1">
      <w:pPr>
        <w:pStyle w:val="ListParagraph"/>
      </w:pPr>
      <w:r>
        <w:t xml:space="preserve">Following an </w:t>
      </w:r>
      <w:proofErr w:type="gramStart"/>
      <w:r>
        <w:t>in depth</w:t>
      </w:r>
      <w:proofErr w:type="gramEnd"/>
      <w:r>
        <w:t xml:space="preserve"> review and focussed piece of work we developed and launched (in Dec 2022) </w:t>
      </w:r>
      <w:hyperlink r:id="rId16" w:history="1">
        <w:r w:rsidRPr="001547D5">
          <w:rPr>
            <w:rStyle w:val="Hyperlink"/>
          </w:rPr>
          <w:t>a designated web page for access support for applicants to our funding schemes</w:t>
        </w:r>
      </w:hyperlink>
      <w:r>
        <w:t>.</w:t>
      </w:r>
      <w:r w:rsidR="00300993">
        <w:t xml:space="preserve"> </w:t>
      </w:r>
      <w:r>
        <w:t>This represented a major step forward for us in achieving our equalities objectives.</w:t>
      </w:r>
    </w:p>
    <w:p w14:paraId="2DF5E811" w14:textId="77777777" w:rsidR="003C2DF8" w:rsidRDefault="003C2DF8">
      <w:pPr>
        <w:spacing w:before="0" w:after="160" w:line="259" w:lineRule="auto"/>
      </w:pPr>
      <w:r>
        <w:br w:type="page"/>
      </w:r>
    </w:p>
    <w:p w14:paraId="1C7F707D" w14:textId="77777777" w:rsidR="001A0812" w:rsidRDefault="001A0812" w:rsidP="00E72B2D">
      <w:pPr>
        <w:pStyle w:val="Heading3"/>
      </w:pPr>
      <w:r>
        <w:lastRenderedPageBreak/>
        <w:t>Access Support – A case study</w:t>
      </w:r>
    </w:p>
    <w:p w14:paraId="600B3763" w14:textId="77777777" w:rsidR="001A0812" w:rsidRPr="00F87474" w:rsidRDefault="001A0812" w:rsidP="00F87474">
      <w:pPr>
        <w:pStyle w:val="Heading4"/>
      </w:pPr>
      <w:r w:rsidRPr="00F87474">
        <w:t>Overview of demand since launching our new approach</w:t>
      </w:r>
    </w:p>
    <w:p w14:paraId="2958B1D9" w14:textId="77777777" w:rsidR="001A0812" w:rsidRDefault="001A0812" w:rsidP="00E72B2D">
      <w:pPr>
        <w:spacing w:before="100" w:beforeAutospacing="1"/>
      </w:pPr>
      <w:r>
        <w:t>Access support was first made available to applicants in 2018/19 and the need and demand has been growing steadily.</w:t>
      </w:r>
    </w:p>
    <w:p w14:paraId="4AABA65A" w14:textId="77777777" w:rsidR="001A0812" w:rsidRDefault="001A0812" w:rsidP="001A0812">
      <w:r>
        <w:t>Up until 2022 our only statement regarding access support within publicly facing documentation was:</w:t>
      </w:r>
    </w:p>
    <w:p w14:paraId="3619A057" w14:textId="6CA2547B" w:rsidR="001A0812" w:rsidRDefault="001A0812" w:rsidP="001A0812">
      <w:r>
        <w:t xml:space="preserve">“If you have any access needs and are thinking about making an application, we can help to make sure that you’re supported during the application process. Please contact us at </w:t>
      </w:r>
      <w:hyperlink r:id="rId17" w:history="1">
        <w:r w:rsidR="00BC59F9" w:rsidRPr="00823F7A">
          <w:rPr>
            <w:rStyle w:val="Hyperlink"/>
          </w:rPr>
          <w:t>grants@arts.wales</w:t>
        </w:r>
      </w:hyperlink>
      <w:r w:rsidR="00BC59F9">
        <w:t xml:space="preserve"> </w:t>
      </w:r>
      <w:r>
        <w:t>to discuss how we can help.”</w:t>
      </w:r>
    </w:p>
    <w:p w14:paraId="1028F4B0" w14:textId="5A74B09A" w:rsidR="001A0812" w:rsidRDefault="001A0812" w:rsidP="001A0812">
      <w:r>
        <w:t xml:space="preserve">We have since developed and launched (in Dec 2022) a much </w:t>
      </w:r>
      <w:hyperlink r:id="rId18" w:history="1">
        <w:r w:rsidRPr="00FE533F">
          <w:rPr>
            <w:rStyle w:val="Hyperlink"/>
          </w:rPr>
          <w:t>more detailed designated web page for access support</w:t>
        </w:r>
      </w:hyperlink>
      <w:r w:rsidR="00FE533F">
        <w:t xml:space="preserve">, </w:t>
      </w:r>
      <w:r>
        <w:t xml:space="preserve">as well as structured the internal process. </w:t>
      </w:r>
    </w:p>
    <w:p w14:paraId="3D71EEEC" w14:textId="7DCB015B" w:rsidR="001A0812" w:rsidRDefault="001A0812" w:rsidP="001A0812">
      <w:r>
        <w:t>We can offer support at different stages of applying for a grant</w:t>
      </w:r>
      <w:r w:rsidR="0005121C">
        <w:t>; b</w:t>
      </w:r>
      <w:r>
        <w:t>efore an applicant applies, making an application and during the project delivery</w:t>
      </w:r>
      <w:r w:rsidR="0005121C">
        <w:t>.</w:t>
      </w:r>
    </w:p>
    <w:p w14:paraId="56E7A4E1" w14:textId="77777777" w:rsidR="001A0812" w:rsidRDefault="001A0812" w:rsidP="001A0812">
      <w:r>
        <w:lastRenderedPageBreak/>
        <w:t>This has resulted in increased demand from 6 requests for support in 2019-20 to 37 in 2022-23.</w:t>
      </w:r>
    </w:p>
    <w:p w14:paraId="4D6BEF71" w14:textId="611C7AA9" w:rsidR="000D4CD5" w:rsidRDefault="001A0812" w:rsidP="001A0812">
      <w:r>
        <w:t xml:space="preserve">As well as this we have also launched and trialled </w:t>
      </w:r>
      <w:hyperlink r:id="rId19" w:history="1">
        <w:r w:rsidRPr="00F87474">
          <w:rPr>
            <w:rStyle w:val="Hyperlink"/>
          </w:rPr>
          <w:t>Video/Audio applications</w:t>
        </w:r>
      </w:hyperlink>
      <w:r w:rsidR="00F87474">
        <w:t>.</w:t>
      </w:r>
    </w:p>
    <w:p w14:paraId="68B90F6E" w14:textId="77777777" w:rsidR="008E534D" w:rsidRPr="00F87474" w:rsidRDefault="008E534D" w:rsidP="00F87474">
      <w:pPr>
        <w:pStyle w:val="Heading4"/>
      </w:pPr>
      <w:r w:rsidRPr="00F87474">
        <w:t>Arranging an access support worker</w:t>
      </w:r>
    </w:p>
    <w:p w14:paraId="1E91CAFA" w14:textId="77777777" w:rsidR="008E534D" w:rsidRDefault="008E534D" w:rsidP="00F87474">
      <w:pPr>
        <w:spacing w:before="0"/>
      </w:pPr>
      <w:r>
        <w:t xml:space="preserve">The applicant is ultimately responsible for deciding who is their access support worker. They may have a note taker, interpreter or support worker that they regularly use. If an applicant doesn’t have an existing support worker, we can identify somebody for them. Each request is considered based on individual needs and the level of support needed. We can pay a reasonable rate of up to a maximum amount of £300 per day and a maximum of 3 days for specialist support. </w:t>
      </w:r>
    </w:p>
    <w:p w14:paraId="5A248E65" w14:textId="77777777" w:rsidR="008E534D" w:rsidRDefault="008E534D" w:rsidP="007D1EF8">
      <w:pPr>
        <w:pStyle w:val="Heading4"/>
      </w:pPr>
      <w:r>
        <w:t>Access Support Providers</w:t>
      </w:r>
    </w:p>
    <w:p w14:paraId="47778DA9" w14:textId="77777777" w:rsidR="008E534D" w:rsidRDefault="008E534D" w:rsidP="008E534D">
      <w:r>
        <w:t xml:space="preserve">Currently we have 17 providers of access support in the network. Four regularly agree to work. </w:t>
      </w:r>
    </w:p>
    <w:p w14:paraId="5082657C" w14:textId="77777777" w:rsidR="008E534D" w:rsidRDefault="008E534D" w:rsidP="008E534D">
      <w:r>
        <w:lastRenderedPageBreak/>
        <w:t xml:space="preserve">Another 9 access support workers have provided ad hoc support to applicants. These are when an applicant has an identified worker that can support their access needs and is usually known to the applicant. </w:t>
      </w:r>
    </w:p>
    <w:p w14:paraId="357C1EC3" w14:textId="77777777" w:rsidR="008E534D" w:rsidRDefault="008E534D" w:rsidP="008E534D">
      <w:r>
        <w:t xml:space="preserve">We have expended our list of providers by roughly 14 over the past year to support the increased demand. However, we have currently paused recruiting any further providers until we are confident the process is working. </w:t>
      </w:r>
    </w:p>
    <w:p w14:paraId="75B4FB13" w14:textId="77777777" w:rsidR="008E534D" w:rsidRDefault="008E534D" w:rsidP="006550A3">
      <w:pPr>
        <w:pStyle w:val="Heading4"/>
      </w:pPr>
      <w:r>
        <w:t>UK Access Group</w:t>
      </w:r>
    </w:p>
    <w:p w14:paraId="3B10F8BF" w14:textId="77777777" w:rsidR="008E534D" w:rsidRDefault="008E534D" w:rsidP="008E534D">
      <w:r>
        <w:t xml:space="preserve">In July 2022 initial discussions took place between Aeron Roberts (Head of Lottery) and Luke Moore (Senior Access Support Officer, ACE) regarding Access Support, with the primary goal being to both improve and bring continuity of access support between funding providers. </w:t>
      </w:r>
    </w:p>
    <w:p w14:paraId="15238025" w14:textId="77777777" w:rsidR="008E534D" w:rsidRDefault="008E534D" w:rsidP="008E534D">
      <w:r>
        <w:t xml:space="preserve">This has resulted in a lot of collaboration, with ACE now having a list of access providers that they do call outs to, with the hope being that we can develop a UK wide list of access providers. </w:t>
      </w:r>
    </w:p>
    <w:p w14:paraId="0DF7CD3B" w14:textId="77777777" w:rsidR="008E534D" w:rsidRDefault="008E534D" w:rsidP="008E534D">
      <w:r>
        <w:lastRenderedPageBreak/>
        <w:t xml:space="preserve">We have since established a UK Access Group that includes Creative Scotland, Arts Council Northern Ireland, and British Film Institution, and three initial meetings have taken place. </w:t>
      </w:r>
    </w:p>
    <w:p w14:paraId="76891657" w14:textId="77777777" w:rsidR="008E534D" w:rsidRDefault="008E534D" w:rsidP="006550A3">
      <w:pPr>
        <w:pStyle w:val="Heading4"/>
      </w:pPr>
      <w:r>
        <w:t>Future developments</w:t>
      </w:r>
    </w:p>
    <w:p w14:paraId="042AF382" w14:textId="3373457C" w:rsidR="008E534D" w:rsidRDefault="008E534D" w:rsidP="006550A3">
      <w:pPr>
        <w:spacing w:after="0"/>
      </w:pPr>
      <w:r>
        <w:t>Access Request Form</w:t>
      </w:r>
      <w:r w:rsidR="006550A3">
        <w:t>:</w:t>
      </w:r>
    </w:p>
    <w:p w14:paraId="7ECC64EA" w14:textId="77777777" w:rsidR="008E534D" w:rsidRDefault="008E534D" w:rsidP="006550A3">
      <w:pPr>
        <w:spacing w:before="0"/>
      </w:pPr>
      <w:r>
        <w:t>We’re hoping as we develop the access support to create a webform that DOs/ GIOs and applicants can complete that captures the information required to try and secure support from the network. We see this as an important development as the information hasn’t always been provided to allow us to make call outs for support work. If we are missing information, this does delay the process of seeking support and approving requests.</w:t>
      </w:r>
    </w:p>
    <w:p w14:paraId="02486909" w14:textId="77777777" w:rsidR="008E534D" w:rsidRDefault="008E534D" w:rsidP="008E534D">
      <w:r>
        <w:t xml:space="preserve">As we are also receiving an increased number of requests, we need to ensure that we receive these in a consistent manner which will also help with future reporting. </w:t>
      </w:r>
    </w:p>
    <w:p w14:paraId="2EF233D8" w14:textId="77777777" w:rsidR="008E534D" w:rsidRDefault="008E534D" w:rsidP="008E534D">
      <w:r>
        <w:lastRenderedPageBreak/>
        <w:t xml:space="preserve">We are also noting a trend in access support always being 3 full days and we need assurance that this is the case due to this being public monies. </w:t>
      </w:r>
    </w:p>
    <w:p w14:paraId="4A1F5AFB" w14:textId="3C8C6350" w:rsidR="008E534D" w:rsidRDefault="008E534D" w:rsidP="008E534D">
      <w:r>
        <w:t>We will never ask an applicant to prove their disability, what we are asking for is a plan of what support is needed, as each case is unique.</w:t>
      </w:r>
      <w:r w:rsidR="00300993">
        <w:t xml:space="preserve"> </w:t>
      </w:r>
    </w:p>
    <w:p w14:paraId="25637C6E" w14:textId="77777777" w:rsidR="008E534D" w:rsidRDefault="008E534D">
      <w:pPr>
        <w:spacing w:before="0" w:after="160" w:line="259" w:lineRule="auto"/>
      </w:pPr>
      <w:r>
        <w:br w:type="page"/>
      </w:r>
    </w:p>
    <w:p w14:paraId="6A93894A" w14:textId="77777777" w:rsidR="00863F7B" w:rsidRDefault="00863F7B" w:rsidP="0004378E">
      <w:pPr>
        <w:pStyle w:val="Heading2"/>
      </w:pPr>
      <w:r>
        <w:lastRenderedPageBreak/>
        <w:t xml:space="preserve">What does our data tell us about how well we have done? </w:t>
      </w:r>
    </w:p>
    <w:p w14:paraId="3906DEA2" w14:textId="77777777" w:rsidR="00863F7B" w:rsidRDefault="00863F7B" w:rsidP="005443EF">
      <w:pPr>
        <w:spacing w:before="480" w:after="120"/>
      </w:pPr>
      <w:r>
        <w:t xml:space="preserve">Our HR data for 2022-23 shows us the following: </w:t>
      </w:r>
    </w:p>
    <w:p w14:paraId="5797C544" w14:textId="425BC0D5" w:rsidR="00863F7B" w:rsidRDefault="00863F7B" w:rsidP="00F11CF1">
      <w:pPr>
        <w:pStyle w:val="ListParagraph"/>
      </w:pPr>
      <w:r>
        <w:t>Most staff and applicants identify as heterosexual/straight. A higher percentage of applicants (77.8%) than staff (73.1%) identify as heterosexual/straight.</w:t>
      </w:r>
      <w:r w:rsidR="00300993">
        <w:t xml:space="preserve"> </w:t>
      </w:r>
      <w:r>
        <w:t xml:space="preserve">The number of heterosexual employees and applicants is over 10% lower than the percentage of </w:t>
      </w:r>
      <w:proofErr w:type="gramStart"/>
      <w:r>
        <w:t>16</w:t>
      </w:r>
      <w:r w:rsidR="00E80549">
        <w:t>-</w:t>
      </w:r>
      <w:r>
        <w:t>74 year olds</w:t>
      </w:r>
      <w:proofErr w:type="gramEnd"/>
      <w:r>
        <w:t xml:space="preserve"> in Wales</w:t>
      </w:r>
      <w:r w:rsidR="000C3480">
        <w:t>,</w:t>
      </w:r>
      <w:r>
        <w:t xml:space="preserve"> which is at 89.8%.</w:t>
      </w:r>
    </w:p>
    <w:p w14:paraId="7477A86D" w14:textId="36F6004B" w:rsidR="00863F7B" w:rsidRDefault="00863F7B" w:rsidP="00F11CF1">
      <w:pPr>
        <w:pStyle w:val="ListParagraph"/>
      </w:pPr>
      <w:r>
        <w:t>Most staff (61.3%) and applicants (63.3%) identify as Welsh, with British being the second highest percentage (22.6% of staff and 26.1% of applicants). Rather than supressing all the other nationalities they have been combined into ‘other’.</w:t>
      </w:r>
    </w:p>
    <w:p w14:paraId="7CE47FEE" w14:textId="47F0E03D" w:rsidR="00863F7B" w:rsidRDefault="00863F7B" w:rsidP="00F11CF1">
      <w:pPr>
        <w:pStyle w:val="ListParagraph"/>
      </w:pPr>
      <w:r>
        <w:t xml:space="preserve">Most staff have recorded their religion as Christian (29%), with this being the second highest percentage for applicants (25.4%). The number of staff identifying as Christian has decreased year on year while ‘other’ religions have increased slightly </w:t>
      </w:r>
      <w:r>
        <w:lastRenderedPageBreak/>
        <w:t xml:space="preserve">year on year. Other religions have been selected by both staff and applicants, but that data has been suppressed. </w:t>
      </w:r>
    </w:p>
    <w:p w14:paraId="351E5CD2" w14:textId="1E6142BF" w:rsidR="00863F7B" w:rsidRDefault="00863F7B" w:rsidP="00F11CF1">
      <w:pPr>
        <w:pStyle w:val="ListParagraph"/>
      </w:pPr>
      <w:r>
        <w:t xml:space="preserve">The percentage of the general population of Wales that recoded their religion as Christian (42.7%, down from the 57.6% recorded in the 2011 census) is higher than that of staff (29%) and applicants (25.4%). Despite the difference becoming smaller between the number of general </w:t>
      </w:r>
      <w:proofErr w:type="gramStart"/>
      <w:r>
        <w:t>public</w:t>
      </w:r>
      <w:proofErr w:type="gramEnd"/>
      <w:r>
        <w:t xml:space="preserve"> in Wales recording they have no religion and those of applicants is still significant at 47.7% and 39.8% respectively.</w:t>
      </w:r>
      <w:r w:rsidR="00300993">
        <w:t xml:space="preserve"> </w:t>
      </w:r>
      <w:r>
        <w:t>We don’t generally specify religion when taking positive action in recruitment campaigns.</w:t>
      </w:r>
    </w:p>
    <w:p w14:paraId="4D7393B1" w14:textId="019BCA27" w:rsidR="00863F7B" w:rsidRDefault="00863F7B" w:rsidP="00F11CF1">
      <w:pPr>
        <w:pStyle w:val="ListParagraph"/>
      </w:pPr>
      <w:r>
        <w:t xml:space="preserve">89.2% of staff have recorded their ethnicity as either White, White Asian, White British, White English, White Irish, White Other and White Welsh, and a combined 4.3% of staff identify as various other ethnicities. </w:t>
      </w:r>
    </w:p>
    <w:p w14:paraId="2052E859" w14:textId="2C00C6C2" w:rsidR="00863F7B" w:rsidRDefault="00863F7B" w:rsidP="00F11CF1">
      <w:pPr>
        <w:pStyle w:val="ListParagraph"/>
      </w:pPr>
      <w:r>
        <w:lastRenderedPageBreak/>
        <w:t>93.4% of applicants have identified as White British, White Welsh or White Irish, with a further 6% of applicants identifying as various other ethnicities combined. Only 0.6% of applicants chose ‘prefer not to say’.</w:t>
      </w:r>
    </w:p>
    <w:p w14:paraId="020644F7" w14:textId="266F00FC" w:rsidR="00863F7B" w:rsidRDefault="00863F7B" w:rsidP="00F11CF1">
      <w:pPr>
        <w:pStyle w:val="ListParagraph"/>
      </w:pPr>
      <w:r>
        <w:t xml:space="preserve">We ask staff to record whether they are disabled as per the medical/legal model and social model. Whilst the number of staff recording this information has increased since last year (56% of staff have now recorded a response to the legal definition compared with 54.3% last year, and only 36.7% in 2020/21), there is still work to be done if we want to get an accurate picture of the composition of our staff. Interestingly, half the number of staff who are disabled under the medical/legal model also consider themselves disabled under the social model. </w:t>
      </w:r>
    </w:p>
    <w:p w14:paraId="523C6D1B" w14:textId="091CDE82" w:rsidR="00863F7B" w:rsidRDefault="00863F7B" w:rsidP="00F11CF1">
      <w:pPr>
        <w:pStyle w:val="ListParagraph"/>
      </w:pPr>
      <w:r>
        <w:t xml:space="preserve">The number of applicants who consider themselves to be disabled both according to the medical and social models of disability have more than doubled since the 2021/22 financial year. However, we saw </w:t>
      </w:r>
      <w:r>
        <w:lastRenderedPageBreak/>
        <w:t>a dip on 2021/22 so the percentages for 2022/23 have risen beyond the 2020/21 figures.</w:t>
      </w:r>
    </w:p>
    <w:p w14:paraId="74E0A493" w14:textId="58B8127B" w:rsidR="00863F7B" w:rsidRDefault="00863F7B" w:rsidP="00F11CF1">
      <w:pPr>
        <w:pStyle w:val="ListParagraph"/>
      </w:pPr>
      <w:r>
        <w:t xml:space="preserve">It is difficult to make a comparison between staff and applicants because such </w:t>
      </w:r>
      <w:proofErr w:type="gramStart"/>
      <w:r>
        <w:t>a large number of</w:t>
      </w:r>
      <w:proofErr w:type="gramEnd"/>
      <w:r>
        <w:t xml:space="preserve"> staff have not responded to the questions.</w:t>
      </w:r>
      <w:r w:rsidR="00300993">
        <w:t xml:space="preserve"> </w:t>
      </w:r>
    </w:p>
    <w:p w14:paraId="22A46356" w14:textId="176B3FEE" w:rsidR="00863F7B" w:rsidRDefault="00863F7B" w:rsidP="00F11CF1">
      <w:pPr>
        <w:pStyle w:val="ListParagraph"/>
      </w:pPr>
      <w:r>
        <w:t xml:space="preserve">Job adverts and the application form were updated in 2022/23 to include a section </w:t>
      </w:r>
      <w:proofErr w:type="gramStart"/>
      <w:r>
        <w:t>on</w:t>
      </w:r>
      <w:r w:rsidR="00300993">
        <w:t xml:space="preserve"> </w:t>
      </w:r>
      <w:r>
        <w:t xml:space="preserve"> the</w:t>
      </w:r>
      <w:proofErr w:type="gramEnd"/>
      <w:r>
        <w:t xml:space="preserve"> Disability Confident Scheme, specifying that the Arts Council is a Disability Confident Employer and is committed to interviewing all disabled applicants who meet the essential criteria set out in the person specification.</w:t>
      </w:r>
      <w:r w:rsidR="00300993">
        <w:t xml:space="preserve"> </w:t>
      </w:r>
      <w:r>
        <w:t>At the time of writing, no applicants had made an application under the scheme.</w:t>
      </w:r>
    </w:p>
    <w:p w14:paraId="2D22BA8B" w14:textId="3D44D1F8" w:rsidR="00863F7B" w:rsidRDefault="00863F7B" w:rsidP="00F11CF1">
      <w:pPr>
        <w:pStyle w:val="ListParagraph"/>
      </w:pPr>
      <w:r>
        <w:t xml:space="preserve">In 2022/23 most staff were aged between 40-49, whereas this age group saw a significant dip among applicants, dropping from 37.9% in 2021/22 to 25% in 2022/23. Only 22.6% of staff were aged under 40, compared with 60% of applicants. There were no staff and no applicants ages under 20. Employee percentages for 50-59 </w:t>
      </w:r>
      <w:r>
        <w:lastRenderedPageBreak/>
        <w:t xml:space="preserve">and over 60 have increased, suggesting that in the 2022/23 financial year </w:t>
      </w:r>
      <w:proofErr w:type="gramStart"/>
      <w:r>
        <w:t>a number of</w:t>
      </w:r>
      <w:proofErr w:type="gramEnd"/>
      <w:r>
        <w:t xml:space="preserve"> staff moved from one age bracket to the next, celebrating another decade. Percentages cannot be provided for applicants for those over 60 as it may be identifiable. </w:t>
      </w:r>
    </w:p>
    <w:p w14:paraId="22A7532A" w14:textId="77777777" w:rsidR="00FE04FE" w:rsidRDefault="00FE04FE">
      <w:pPr>
        <w:spacing w:before="0" w:after="160" w:line="259" w:lineRule="auto"/>
      </w:pPr>
      <w:r>
        <w:br w:type="page"/>
      </w:r>
    </w:p>
    <w:p w14:paraId="08F50508" w14:textId="77777777" w:rsidR="00FE04FE" w:rsidRDefault="00FE04FE" w:rsidP="00863F7B">
      <w:pPr>
        <w:sectPr w:rsidR="00FE04FE" w:rsidSect="00C34F83">
          <w:footerReference w:type="default" r:id="rId20"/>
          <w:pgSz w:w="11906" w:h="16838"/>
          <w:pgMar w:top="1440" w:right="1440" w:bottom="1440" w:left="1440" w:header="708" w:footer="283" w:gutter="0"/>
          <w:cols w:space="708"/>
          <w:docGrid w:linePitch="490"/>
        </w:sectPr>
      </w:pPr>
    </w:p>
    <w:p w14:paraId="4CF9F4DB" w14:textId="241DB4A1" w:rsidR="00863F7B" w:rsidRDefault="00863F7B" w:rsidP="00FE04FE">
      <w:pPr>
        <w:pStyle w:val="Heading4"/>
      </w:pPr>
      <w:r>
        <w:lastRenderedPageBreak/>
        <w:t xml:space="preserve">Our Arts Portfolio Wales data for 2022-23 showed improvement in the representation of people with protected characteristics both as employees and members of Boards of Management. </w:t>
      </w:r>
    </w:p>
    <w:p w14:paraId="754C287A" w14:textId="77777777" w:rsidR="00AF1DA9" w:rsidRDefault="00863F7B" w:rsidP="00863F7B">
      <w:pPr>
        <w:sectPr w:rsidR="00AF1DA9" w:rsidSect="00FE04FE">
          <w:pgSz w:w="16838" w:h="11906" w:orient="landscape"/>
          <w:pgMar w:top="1440" w:right="1440" w:bottom="1440" w:left="1440" w:header="708" w:footer="283" w:gutter="0"/>
          <w:cols w:space="708"/>
          <w:docGrid w:linePitch="490"/>
        </w:sectPr>
      </w:pPr>
      <w:r>
        <w:t>The monitoring of our Arts Portfolio Wales clients in 2022/23 continues to show the beginning of a culture change across the organisations. There was a marked increase particularly in the number of disabled people employed within these organisations up by 20% from the previous year. Those from culturally and ethnically diverse backgrounds, lesbian, gay and bisexual people and those with specific religious beliefs saw modest increases on the previous year. The age profile of those employed also saw a change with decreases in both older and younger people employed within the 67 organisations.</w:t>
      </w:r>
    </w:p>
    <w:tbl>
      <w:tblPr>
        <w:tblpPr w:leftFromText="180" w:rightFromText="180" w:horzAnchor="page" w:tblpX="669" w:tblpY="-720"/>
        <w:tblW w:w="154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20" w:firstRow="1" w:lastRow="0" w:firstColumn="0" w:lastColumn="0" w:noHBand="0" w:noVBand="0"/>
      </w:tblPr>
      <w:tblGrid>
        <w:gridCol w:w="4810"/>
        <w:gridCol w:w="1984"/>
        <w:gridCol w:w="1985"/>
        <w:gridCol w:w="2268"/>
        <w:gridCol w:w="2126"/>
        <w:gridCol w:w="2268"/>
      </w:tblGrid>
      <w:tr w:rsidR="00161989" w:rsidRPr="00C72F03" w14:paraId="2D5D2808" w14:textId="77777777" w:rsidTr="00FC371C">
        <w:trPr>
          <w:trHeight w:val="1820"/>
          <w:tblHeader/>
        </w:trPr>
        <w:tc>
          <w:tcPr>
            <w:tcW w:w="4810" w:type="dxa"/>
            <w:shd w:val="clear" w:color="auto" w:fill="auto"/>
            <w:tcMar>
              <w:top w:w="10" w:type="dxa"/>
              <w:left w:w="10" w:type="dxa"/>
              <w:bottom w:w="0" w:type="dxa"/>
              <w:right w:w="10" w:type="dxa"/>
            </w:tcMar>
          </w:tcPr>
          <w:p w14:paraId="75EA7C6D" w14:textId="77777777" w:rsidR="00AF1DA9" w:rsidRPr="00C72F03" w:rsidRDefault="00AF1DA9" w:rsidP="00C72F03">
            <w:pPr>
              <w:spacing w:before="120" w:after="120" w:line="276" w:lineRule="auto"/>
              <w:ind w:left="122" w:right="408" w:firstLine="20"/>
              <w:rPr>
                <w:sz w:val="32"/>
                <w:szCs w:val="32"/>
              </w:rPr>
            </w:pPr>
            <w:r w:rsidRPr="00C72F03">
              <w:rPr>
                <w:sz w:val="32"/>
                <w:szCs w:val="32"/>
              </w:rPr>
              <w:lastRenderedPageBreak/>
              <w:t> </w:t>
            </w:r>
          </w:p>
        </w:tc>
        <w:tc>
          <w:tcPr>
            <w:tcW w:w="1984" w:type="dxa"/>
            <w:shd w:val="clear" w:color="auto" w:fill="auto"/>
            <w:tcMar>
              <w:top w:w="10" w:type="dxa"/>
              <w:left w:w="10" w:type="dxa"/>
              <w:bottom w:w="0" w:type="dxa"/>
              <w:right w:w="10" w:type="dxa"/>
            </w:tcMar>
            <w:vAlign w:val="center"/>
          </w:tcPr>
          <w:p w14:paraId="3FB44960" w14:textId="77777777" w:rsidR="00AF1DA9" w:rsidRPr="00C72F03" w:rsidRDefault="00AF1DA9" w:rsidP="000C54CE">
            <w:pPr>
              <w:spacing w:before="120" w:after="120" w:line="276" w:lineRule="auto"/>
              <w:ind w:left="351" w:right="137"/>
              <w:jc w:val="right"/>
              <w:rPr>
                <w:sz w:val="32"/>
                <w:szCs w:val="32"/>
              </w:rPr>
            </w:pPr>
            <w:r w:rsidRPr="00C72F03">
              <w:rPr>
                <w:sz w:val="32"/>
                <w:szCs w:val="32"/>
              </w:rPr>
              <w:t>2021/22</w:t>
            </w:r>
          </w:p>
        </w:tc>
        <w:tc>
          <w:tcPr>
            <w:tcW w:w="1985" w:type="dxa"/>
            <w:shd w:val="clear" w:color="auto" w:fill="auto"/>
            <w:tcMar>
              <w:top w:w="10" w:type="dxa"/>
              <w:left w:w="10" w:type="dxa"/>
              <w:bottom w:w="0" w:type="dxa"/>
              <w:right w:w="10" w:type="dxa"/>
            </w:tcMar>
            <w:vAlign w:val="center"/>
          </w:tcPr>
          <w:p w14:paraId="026FB162" w14:textId="77777777" w:rsidR="00AF1DA9" w:rsidRPr="00C72F03" w:rsidRDefault="00AF1DA9" w:rsidP="000C54CE">
            <w:pPr>
              <w:spacing w:before="120" w:after="120" w:line="276" w:lineRule="auto"/>
              <w:ind w:left="320" w:right="133"/>
              <w:jc w:val="right"/>
              <w:rPr>
                <w:sz w:val="32"/>
                <w:szCs w:val="32"/>
              </w:rPr>
            </w:pPr>
            <w:r w:rsidRPr="00C72F03">
              <w:rPr>
                <w:b/>
                <w:bCs/>
                <w:sz w:val="32"/>
                <w:szCs w:val="32"/>
              </w:rPr>
              <w:t>2022/23</w:t>
            </w:r>
          </w:p>
        </w:tc>
        <w:tc>
          <w:tcPr>
            <w:tcW w:w="2268" w:type="dxa"/>
            <w:shd w:val="clear" w:color="auto" w:fill="auto"/>
            <w:tcMar>
              <w:top w:w="10" w:type="dxa"/>
              <w:left w:w="10" w:type="dxa"/>
              <w:bottom w:w="0" w:type="dxa"/>
              <w:right w:w="10" w:type="dxa"/>
            </w:tcMar>
            <w:vAlign w:val="center"/>
          </w:tcPr>
          <w:p w14:paraId="11F4B759" w14:textId="63ACBEF0" w:rsidR="00AF1DA9" w:rsidRPr="00C72F03" w:rsidRDefault="00AF1DA9" w:rsidP="00C72F03">
            <w:pPr>
              <w:spacing w:before="120" w:after="120" w:line="276" w:lineRule="auto"/>
              <w:ind w:left="460" w:right="263"/>
              <w:jc w:val="right"/>
              <w:rPr>
                <w:sz w:val="32"/>
                <w:szCs w:val="32"/>
              </w:rPr>
            </w:pPr>
            <w:r w:rsidRPr="00C72F03">
              <w:rPr>
                <w:b/>
                <w:bCs/>
                <w:sz w:val="32"/>
                <w:szCs w:val="32"/>
              </w:rPr>
              <w:t>% Change (21/22-22/23)</w:t>
            </w:r>
          </w:p>
        </w:tc>
        <w:tc>
          <w:tcPr>
            <w:tcW w:w="2126" w:type="dxa"/>
            <w:shd w:val="clear" w:color="auto" w:fill="auto"/>
            <w:tcMar>
              <w:top w:w="10" w:type="dxa"/>
              <w:left w:w="10" w:type="dxa"/>
              <w:bottom w:w="0" w:type="dxa"/>
              <w:right w:w="10" w:type="dxa"/>
            </w:tcMar>
            <w:vAlign w:val="center"/>
          </w:tcPr>
          <w:p w14:paraId="742A9464" w14:textId="704634C0" w:rsidR="00AF1DA9" w:rsidRPr="00C72F03" w:rsidRDefault="00AF1DA9" w:rsidP="00C72F03">
            <w:pPr>
              <w:spacing w:before="120" w:after="120" w:line="276" w:lineRule="auto"/>
              <w:ind w:left="-204" w:right="132" w:hanging="1"/>
              <w:jc w:val="right"/>
              <w:rPr>
                <w:sz w:val="32"/>
                <w:szCs w:val="32"/>
              </w:rPr>
            </w:pPr>
            <w:r w:rsidRPr="00C72F03">
              <w:rPr>
                <w:sz w:val="32"/>
                <w:szCs w:val="32"/>
              </w:rPr>
              <w:t>% of</w:t>
            </w:r>
            <w:r w:rsidR="00161989" w:rsidRPr="00C72F03">
              <w:rPr>
                <w:sz w:val="32"/>
                <w:szCs w:val="32"/>
              </w:rPr>
              <w:t xml:space="preserve"> </w:t>
            </w:r>
            <w:r w:rsidRPr="00C72F03">
              <w:rPr>
                <w:sz w:val="32"/>
                <w:szCs w:val="32"/>
              </w:rPr>
              <w:t>overall employees</w:t>
            </w:r>
            <w:r w:rsidR="000A78F1" w:rsidRPr="00C72F03">
              <w:rPr>
                <w:sz w:val="32"/>
                <w:szCs w:val="32"/>
              </w:rPr>
              <w:br/>
            </w:r>
            <w:r w:rsidRPr="00C72F03">
              <w:rPr>
                <w:sz w:val="32"/>
                <w:szCs w:val="32"/>
              </w:rPr>
              <w:t>2021/22</w:t>
            </w:r>
          </w:p>
        </w:tc>
        <w:tc>
          <w:tcPr>
            <w:tcW w:w="2268" w:type="dxa"/>
            <w:shd w:val="clear" w:color="auto" w:fill="auto"/>
            <w:tcMar>
              <w:top w:w="10" w:type="dxa"/>
              <w:left w:w="10" w:type="dxa"/>
              <w:bottom w:w="0" w:type="dxa"/>
              <w:right w:w="10" w:type="dxa"/>
            </w:tcMar>
            <w:vAlign w:val="center"/>
          </w:tcPr>
          <w:p w14:paraId="208BC6FA" w14:textId="403FA525" w:rsidR="00AF1DA9" w:rsidRPr="00C72F03" w:rsidRDefault="00AF1DA9" w:rsidP="00C72F03">
            <w:pPr>
              <w:spacing w:before="120" w:after="120" w:line="276" w:lineRule="auto"/>
              <w:ind w:right="274"/>
              <w:jc w:val="right"/>
              <w:rPr>
                <w:sz w:val="32"/>
                <w:szCs w:val="32"/>
              </w:rPr>
            </w:pPr>
            <w:r w:rsidRPr="00C72F03">
              <w:rPr>
                <w:sz w:val="32"/>
                <w:szCs w:val="32"/>
              </w:rPr>
              <w:t>% of overall</w:t>
            </w:r>
            <w:r w:rsidR="000A78F1" w:rsidRPr="00C72F03">
              <w:rPr>
                <w:sz w:val="32"/>
                <w:szCs w:val="32"/>
              </w:rPr>
              <w:br/>
            </w:r>
            <w:r w:rsidRPr="00C72F03">
              <w:rPr>
                <w:sz w:val="32"/>
                <w:szCs w:val="32"/>
              </w:rPr>
              <w:t>employees</w:t>
            </w:r>
            <w:r w:rsidR="000A78F1" w:rsidRPr="00C72F03">
              <w:rPr>
                <w:sz w:val="32"/>
                <w:szCs w:val="32"/>
              </w:rPr>
              <w:br/>
            </w:r>
            <w:r w:rsidRPr="00C72F03">
              <w:rPr>
                <w:sz w:val="32"/>
                <w:szCs w:val="32"/>
              </w:rPr>
              <w:t>2022/23</w:t>
            </w:r>
          </w:p>
        </w:tc>
      </w:tr>
      <w:tr w:rsidR="00161989" w:rsidRPr="00C72F03" w14:paraId="31EE7991" w14:textId="77777777" w:rsidTr="00FC371C">
        <w:trPr>
          <w:trHeight w:val="1081"/>
        </w:trPr>
        <w:tc>
          <w:tcPr>
            <w:tcW w:w="4810" w:type="dxa"/>
            <w:shd w:val="clear" w:color="auto" w:fill="auto"/>
            <w:tcMar>
              <w:top w:w="10" w:type="dxa"/>
              <w:left w:w="10" w:type="dxa"/>
              <w:bottom w:w="0" w:type="dxa"/>
              <w:right w:w="10" w:type="dxa"/>
            </w:tcMar>
            <w:vAlign w:val="center"/>
          </w:tcPr>
          <w:p w14:paraId="69D5921F" w14:textId="77777777" w:rsidR="00AF1DA9" w:rsidRPr="00C72F03" w:rsidRDefault="00AF1DA9" w:rsidP="00C72F03">
            <w:pPr>
              <w:spacing w:before="120" w:after="120" w:line="276" w:lineRule="auto"/>
              <w:ind w:left="122" w:right="408" w:firstLine="20"/>
              <w:rPr>
                <w:sz w:val="32"/>
                <w:szCs w:val="32"/>
              </w:rPr>
            </w:pPr>
            <w:r w:rsidRPr="00C72F03">
              <w:rPr>
                <w:sz w:val="32"/>
                <w:szCs w:val="32"/>
              </w:rPr>
              <w:t xml:space="preserve">Total number of Employees </w:t>
            </w:r>
          </w:p>
        </w:tc>
        <w:tc>
          <w:tcPr>
            <w:tcW w:w="1984" w:type="dxa"/>
            <w:shd w:val="clear" w:color="auto" w:fill="auto"/>
            <w:tcMar>
              <w:top w:w="10" w:type="dxa"/>
              <w:left w:w="10" w:type="dxa"/>
              <w:bottom w:w="0" w:type="dxa"/>
              <w:right w:w="10" w:type="dxa"/>
            </w:tcMar>
            <w:vAlign w:val="center"/>
          </w:tcPr>
          <w:p w14:paraId="41539996" w14:textId="77777777" w:rsidR="00AF1DA9" w:rsidRPr="00C72F03" w:rsidRDefault="00AF1DA9" w:rsidP="000C54CE">
            <w:pPr>
              <w:spacing w:before="120" w:after="120" w:line="276" w:lineRule="auto"/>
              <w:ind w:left="351" w:right="137"/>
              <w:jc w:val="right"/>
              <w:rPr>
                <w:sz w:val="32"/>
                <w:szCs w:val="32"/>
              </w:rPr>
            </w:pPr>
            <w:r w:rsidRPr="00C72F03">
              <w:rPr>
                <w:sz w:val="32"/>
                <w:szCs w:val="32"/>
              </w:rPr>
              <w:t>1,934</w:t>
            </w:r>
          </w:p>
        </w:tc>
        <w:tc>
          <w:tcPr>
            <w:tcW w:w="1985" w:type="dxa"/>
            <w:shd w:val="clear" w:color="auto" w:fill="auto"/>
            <w:tcMar>
              <w:top w:w="10" w:type="dxa"/>
              <w:left w:w="10" w:type="dxa"/>
              <w:bottom w:w="0" w:type="dxa"/>
              <w:right w:w="10" w:type="dxa"/>
            </w:tcMar>
            <w:vAlign w:val="center"/>
          </w:tcPr>
          <w:p w14:paraId="3F37DFAA"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1,969</w:t>
            </w:r>
          </w:p>
        </w:tc>
        <w:tc>
          <w:tcPr>
            <w:tcW w:w="2268" w:type="dxa"/>
            <w:shd w:val="clear" w:color="auto" w:fill="auto"/>
            <w:tcMar>
              <w:top w:w="10" w:type="dxa"/>
              <w:left w:w="10" w:type="dxa"/>
              <w:bottom w:w="0" w:type="dxa"/>
              <w:right w:w="10" w:type="dxa"/>
            </w:tcMar>
            <w:vAlign w:val="center"/>
          </w:tcPr>
          <w:p w14:paraId="5D8C643B" w14:textId="77777777" w:rsidR="00AF1DA9" w:rsidRPr="00C72F03" w:rsidRDefault="00AF1DA9" w:rsidP="00C72F03">
            <w:pPr>
              <w:spacing w:before="120" w:after="120" w:line="276" w:lineRule="auto"/>
              <w:ind w:left="460" w:right="263"/>
              <w:jc w:val="right"/>
              <w:rPr>
                <w:sz w:val="32"/>
                <w:szCs w:val="32"/>
              </w:rPr>
            </w:pPr>
            <w:r w:rsidRPr="00C72F03">
              <w:rPr>
                <w:sz w:val="32"/>
                <w:szCs w:val="32"/>
              </w:rPr>
              <w:t>1.8</w:t>
            </w:r>
          </w:p>
        </w:tc>
        <w:tc>
          <w:tcPr>
            <w:tcW w:w="2126" w:type="dxa"/>
            <w:shd w:val="clear" w:color="auto" w:fill="auto"/>
            <w:tcMar>
              <w:top w:w="10" w:type="dxa"/>
              <w:left w:w="10" w:type="dxa"/>
              <w:bottom w:w="0" w:type="dxa"/>
              <w:right w:w="10" w:type="dxa"/>
            </w:tcMar>
            <w:vAlign w:val="center"/>
          </w:tcPr>
          <w:p w14:paraId="6DEE25B7"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w:t>
            </w:r>
          </w:p>
        </w:tc>
        <w:tc>
          <w:tcPr>
            <w:tcW w:w="2268" w:type="dxa"/>
            <w:shd w:val="clear" w:color="auto" w:fill="auto"/>
            <w:tcMar>
              <w:top w:w="10" w:type="dxa"/>
              <w:left w:w="10" w:type="dxa"/>
              <w:bottom w:w="0" w:type="dxa"/>
              <w:right w:w="10" w:type="dxa"/>
            </w:tcMar>
            <w:vAlign w:val="center"/>
          </w:tcPr>
          <w:p w14:paraId="6429C81A" w14:textId="77777777" w:rsidR="00AF1DA9" w:rsidRPr="00C72F03" w:rsidRDefault="00AF1DA9" w:rsidP="00C72F03">
            <w:pPr>
              <w:spacing w:before="120" w:after="120" w:line="276" w:lineRule="auto"/>
              <w:ind w:right="274"/>
              <w:jc w:val="right"/>
              <w:rPr>
                <w:sz w:val="32"/>
                <w:szCs w:val="32"/>
              </w:rPr>
            </w:pPr>
            <w:r w:rsidRPr="00C72F03">
              <w:rPr>
                <w:sz w:val="32"/>
                <w:szCs w:val="32"/>
              </w:rPr>
              <w:t>-</w:t>
            </w:r>
          </w:p>
        </w:tc>
      </w:tr>
      <w:tr w:rsidR="00161989" w:rsidRPr="00C72F03" w14:paraId="64CEFEA1" w14:textId="77777777" w:rsidTr="00FC371C">
        <w:trPr>
          <w:trHeight w:val="959"/>
        </w:trPr>
        <w:tc>
          <w:tcPr>
            <w:tcW w:w="4810" w:type="dxa"/>
            <w:shd w:val="clear" w:color="auto" w:fill="auto"/>
            <w:tcMar>
              <w:top w:w="10" w:type="dxa"/>
              <w:left w:w="10" w:type="dxa"/>
              <w:bottom w:w="0" w:type="dxa"/>
              <w:right w:w="10" w:type="dxa"/>
            </w:tcMar>
            <w:vAlign w:val="center"/>
          </w:tcPr>
          <w:p w14:paraId="24BA8DA3" w14:textId="77777777" w:rsidR="00AF1DA9" w:rsidRPr="00C72F03" w:rsidRDefault="00AF1DA9" w:rsidP="00C72F03">
            <w:pPr>
              <w:spacing w:before="120" w:after="120" w:line="276" w:lineRule="auto"/>
              <w:ind w:left="122" w:right="408" w:firstLine="20"/>
              <w:rPr>
                <w:sz w:val="32"/>
                <w:szCs w:val="32"/>
              </w:rPr>
            </w:pPr>
            <w:r w:rsidRPr="00C72F03">
              <w:rPr>
                <w:sz w:val="32"/>
                <w:szCs w:val="32"/>
              </w:rPr>
              <w:t xml:space="preserve">Total number of D/deaf or disabled employees </w:t>
            </w:r>
          </w:p>
        </w:tc>
        <w:tc>
          <w:tcPr>
            <w:tcW w:w="1984" w:type="dxa"/>
            <w:shd w:val="clear" w:color="auto" w:fill="auto"/>
            <w:tcMar>
              <w:top w:w="10" w:type="dxa"/>
              <w:left w:w="10" w:type="dxa"/>
              <w:bottom w:w="0" w:type="dxa"/>
              <w:right w:w="10" w:type="dxa"/>
            </w:tcMar>
            <w:vAlign w:val="center"/>
          </w:tcPr>
          <w:p w14:paraId="23D87784" w14:textId="77777777" w:rsidR="00AF1DA9" w:rsidRPr="00C72F03" w:rsidRDefault="00AF1DA9" w:rsidP="000C54CE">
            <w:pPr>
              <w:spacing w:before="120" w:after="120" w:line="276" w:lineRule="auto"/>
              <w:ind w:left="351" w:right="137"/>
              <w:jc w:val="right"/>
              <w:rPr>
                <w:sz w:val="32"/>
                <w:szCs w:val="32"/>
              </w:rPr>
            </w:pPr>
            <w:r w:rsidRPr="00C72F03">
              <w:rPr>
                <w:sz w:val="32"/>
                <w:szCs w:val="32"/>
              </w:rPr>
              <w:t>119</w:t>
            </w:r>
          </w:p>
        </w:tc>
        <w:tc>
          <w:tcPr>
            <w:tcW w:w="1985" w:type="dxa"/>
            <w:shd w:val="clear" w:color="auto" w:fill="auto"/>
            <w:tcMar>
              <w:top w:w="10" w:type="dxa"/>
              <w:left w:w="10" w:type="dxa"/>
              <w:bottom w:w="0" w:type="dxa"/>
              <w:right w:w="10" w:type="dxa"/>
            </w:tcMar>
            <w:vAlign w:val="center"/>
          </w:tcPr>
          <w:p w14:paraId="426DB980"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143</w:t>
            </w:r>
          </w:p>
        </w:tc>
        <w:tc>
          <w:tcPr>
            <w:tcW w:w="2268" w:type="dxa"/>
            <w:shd w:val="clear" w:color="auto" w:fill="auto"/>
            <w:tcMar>
              <w:top w:w="10" w:type="dxa"/>
              <w:left w:w="10" w:type="dxa"/>
              <w:bottom w:w="0" w:type="dxa"/>
              <w:right w:w="10" w:type="dxa"/>
            </w:tcMar>
            <w:vAlign w:val="center"/>
          </w:tcPr>
          <w:p w14:paraId="06724656" w14:textId="77777777" w:rsidR="00AF1DA9" w:rsidRPr="00C72F03" w:rsidRDefault="00AF1DA9" w:rsidP="00C72F03">
            <w:pPr>
              <w:spacing w:before="120" w:after="120" w:line="276" w:lineRule="auto"/>
              <w:ind w:left="460" w:right="263"/>
              <w:jc w:val="right"/>
              <w:rPr>
                <w:sz w:val="32"/>
                <w:szCs w:val="32"/>
              </w:rPr>
            </w:pPr>
            <w:r w:rsidRPr="00C72F03">
              <w:rPr>
                <w:sz w:val="32"/>
                <w:szCs w:val="32"/>
              </w:rPr>
              <w:t>20.2</w:t>
            </w:r>
          </w:p>
        </w:tc>
        <w:tc>
          <w:tcPr>
            <w:tcW w:w="2126" w:type="dxa"/>
            <w:shd w:val="clear" w:color="auto" w:fill="auto"/>
            <w:tcMar>
              <w:top w:w="10" w:type="dxa"/>
              <w:left w:w="10" w:type="dxa"/>
              <w:bottom w:w="0" w:type="dxa"/>
              <w:right w:w="10" w:type="dxa"/>
            </w:tcMar>
            <w:vAlign w:val="center"/>
          </w:tcPr>
          <w:p w14:paraId="6900F4C2"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6.2</w:t>
            </w:r>
          </w:p>
        </w:tc>
        <w:tc>
          <w:tcPr>
            <w:tcW w:w="2268" w:type="dxa"/>
            <w:shd w:val="clear" w:color="auto" w:fill="auto"/>
            <w:tcMar>
              <w:top w:w="10" w:type="dxa"/>
              <w:left w:w="10" w:type="dxa"/>
              <w:bottom w:w="0" w:type="dxa"/>
              <w:right w:w="10" w:type="dxa"/>
            </w:tcMar>
            <w:vAlign w:val="center"/>
          </w:tcPr>
          <w:p w14:paraId="64BA940F" w14:textId="77777777" w:rsidR="00AF1DA9" w:rsidRPr="00C72F03" w:rsidRDefault="00AF1DA9" w:rsidP="00C72F03">
            <w:pPr>
              <w:spacing w:before="120" w:after="120" w:line="276" w:lineRule="auto"/>
              <w:ind w:right="274"/>
              <w:jc w:val="right"/>
              <w:rPr>
                <w:sz w:val="32"/>
                <w:szCs w:val="32"/>
              </w:rPr>
            </w:pPr>
            <w:r w:rsidRPr="00C72F03">
              <w:rPr>
                <w:sz w:val="32"/>
                <w:szCs w:val="32"/>
              </w:rPr>
              <w:t>7.3</w:t>
            </w:r>
          </w:p>
        </w:tc>
      </w:tr>
      <w:tr w:rsidR="00161989" w:rsidRPr="00C72F03" w14:paraId="0275185F" w14:textId="77777777" w:rsidTr="00FC371C">
        <w:trPr>
          <w:trHeight w:val="1406"/>
        </w:trPr>
        <w:tc>
          <w:tcPr>
            <w:tcW w:w="4810" w:type="dxa"/>
            <w:shd w:val="clear" w:color="auto" w:fill="auto"/>
            <w:tcMar>
              <w:top w:w="10" w:type="dxa"/>
              <w:left w:w="10" w:type="dxa"/>
              <w:bottom w:w="0" w:type="dxa"/>
              <w:right w:w="10" w:type="dxa"/>
            </w:tcMar>
            <w:vAlign w:val="center"/>
          </w:tcPr>
          <w:p w14:paraId="740B5800" w14:textId="743CB7E9" w:rsidR="00AF1DA9" w:rsidRPr="00C72F03" w:rsidRDefault="00AF1DA9" w:rsidP="00C72F03">
            <w:pPr>
              <w:spacing w:before="120" w:after="120" w:line="276" w:lineRule="auto"/>
              <w:ind w:left="122" w:right="408" w:firstLine="20"/>
              <w:rPr>
                <w:sz w:val="32"/>
                <w:szCs w:val="32"/>
              </w:rPr>
            </w:pPr>
            <w:r w:rsidRPr="00C72F03">
              <w:rPr>
                <w:sz w:val="32"/>
                <w:szCs w:val="32"/>
              </w:rPr>
              <w:t>Total number of Culturally and</w:t>
            </w:r>
            <w:r w:rsidR="00161989" w:rsidRPr="00C72F03">
              <w:rPr>
                <w:sz w:val="32"/>
                <w:szCs w:val="32"/>
              </w:rPr>
              <w:t xml:space="preserve"> </w:t>
            </w:r>
            <w:r w:rsidRPr="00C72F03">
              <w:rPr>
                <w:sz w:val="32"/>
                <w:szCs w:val="32"/>
              </w:rPr>
              <w:t xml:space="preserve">Ethnically Diverse employees </w:t>
            </w:r>
          </w:p>
        </w:tc>
        <w:tc>
          <w:tcPr>
            <w:tcW w:w="1984" w:type="dxa"/>
            <w:shd w:val="clear" w:color="auto" w:fill="auto"/>
            <w:tcMar>
              <w:top w:w="10" w:type="dxa"/>
              <w:left w:w="10" w:type="dxa"/>
              <w:bottom w:w="0" w:type="dxa"/>
              <w:right w:w="10" w:type="dxa"/>
            </w:tcMar>
            <w:vAlign w:val="center"/>
          </w:tcPr>
          <w:p w14:paraId="723BFF51" w14:textId="77777777" w:rsidR="00AF1DA9" w:rsidRPr="00C72F03" w:rsidRDefault="00AF1DA9" w:rsidP="000C54CE">
            <w:pPr>
              <w:spacing w:before="120" w:after="120" w:line="276" w:lineRule="auto"/>
              <w:ind w:left="351" w:right="137"/>
              <w:jc w:val="right"/>
              <w:rPr>
                <w:sz w:val="32"/>
                <w:szCs w:val="32"/>
              </w:rPr>
            </w:pPr>
            <w:r w:rsidRPr="00C72F03">
              <w:rPr>
                <w:sz w:val="32"/>
                <w:szCs w:val="32"/>
              </w:rPr>
              <w:t>139</w:t>
            </w:r>
          </w:p>
        </w:tc>
        <w:tc>
          <w:tcPr>
            <w:tcW w:w="1985" w:type="dxa"/>
            <w:shd w:val="clear" w:color="auto" w:fill="auto"/>
            <w:tcMar>
              <w:top w:w="10" w:type="dxa"/>
              <w:left w:w="10" w:type="dxa"/>
              <w:bottom w:w="0" w:type="dxa"/>
              <w:right w:w="10" w:type="dxa"/>
            </w:tcMar>
            <w:vAlign w:val="center"/>
          </w:tcPr>
          <w:p w14:paraId="02BEC86E"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146</w:t>
            </w:r>
          </w:p>
        </w:tc>
        <w:tc>
          <w:tcPr>
            <w:tcW w:w="2268" w:type="dxa"/>
            <w:shd w:val="clear" w:color="auto" w:fill="auto"/>
            <w:tcMar>
              <w:top w:w="10" w:type="dxa"/>
              <w:left w:w="10" w:type="dxa"/>
              <w:bottom w:w="0" w:type="dxa"/>
              <w:right w:w="10" w:type="dxa"/>
            </w:tcMar>
            <w:vAlign w:val="center"/>
          </w:tcPr>
          <w:p w14:paraId="6C1BDD21" w14:textId="77777777" w:rsidR="00AF1DA9" w:rsidRPr="00C72F03" w:rsidRDefault="00AF1DA9" w:rsidP="00C72F03">
            <w:pPr>
              <w:spacing w:before="120" w:after="120" w:line="276" w:lineRule="auto"/>
              <w:ind w:left="460" w:right="263"/>
              <w:jc w:val="right"/>
              <w:rPr>
                <w:sz w:val="32"/>
                <w:szCs w:val="32"/>
              </w:rPr>
            </w:pPr>
            <w:r w:rsidRPr="00C72F03">
              <w:rPr>
                <w:sz w:val="32"/>
                <w:szCs w:val="32"/>
              </w:rPr>
              <w:t>5.0</w:t>
            </w:r>
          </w:p>
        </w:tc>
        <w:tc>
          <w:tcPr>
            <w:tcW w:w="2126" w:type="dxa"/>
            <w:shd w:val="clear" w:color="auto" w:fill="auto"/>
            <w:tcMar>
              <w:top w:w="10" w:type="dxa"/>
              <w:left w:w="10" w:type="dxa"/>
              <w:bottom w:w="0" w:type="dxa"/>
              <w:right w:w="10" w:type="dxa"/>
            </w:tcMar>
            <w:vAlign w:val="center"/>
          </w:tcPr>
          <w:p w14:paraId="03FF2B89"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7.2</w:t>
            </w:r>
          </w:p>
        </w:tc>
        <w:tc>
          <w:tcPr>
            <w:tcW w:w="2268" w:type="dxa"/>
            <w:shd w:val="clear" w:color="auto" w:fill="auto"/>
            <w:tcMar>
              <w:top w:w="10" w:type="dxa"/>
              <w:left w:w="10" w:type="dxa"/>
              <w:bottom w:w="0" w:type="dxa"/>
              <w:right w:w="10" w:type="dxa"/>
            </w:tcMar>
            <w:vAlign w:val="center"/>
          </w:tcPr>
          <w:p w14:paraId="6F35EA94" w14:textId="77777777" w:rsidR="00AF1DA9" w:rsidRPr="00C72F03" w:rsidRDefault="00AF1DA9" w:rsidP="00C72F03">
            <w:pPr>
              <w:spacing w:before="120" w:after="120" w:line="276" w:lineRule="auto"/>
              <w:ind w:right="274"/>
              <w:jc w:val="right"/>
              <w:rPr>
                <w:sz w:val="32"/>
                <w:szCs w:val="32"/>
              </w:rPr>
            </w:pPr>
            <w:r w:rsidRPr="00C72F03">
              <w:rPr>
                <w:sz w:val="32"/>
                <w:szCs w:val="32"/>
              </w:rPr>
              <w:t>7.4</w:t>
            </w:r>
          </w:p>
        </w:tc>
      </w:tr>
      <w:tr w:rsidR="00161989" w:rsidRPr="00C72F03" w14:paraId="01F32455" w14:textId="77777777" w:rsidTr="00FC371C">
        <w:trPr>
          <w:trHeight w:val="270"/>
        </w:trPr>
        <w:tc>
          <w:tcPr>
            <w:tcW w:w="4810" w:type="dxa"/>
            <w:shd w:val="clear" w:color="auto" w:fill="auto"/>
            <w:tcMar>
              <w:top w:w="10" w:type="dxa"/>
              <w:left w:w="10" w:type="dxa"/>
              <w:bottom w:w="0" w:type="dxa"/>
              <w:right w:w="10" w:type="dxa"/>
            </w:tcMar>
            <w:vAlign w:val="center"/>
          </w:tcPr>
          <w:p w14:paraId="61349780" w14:textId="77777777" w:rsidR="00AF1DA9" w:rsidRPr="00C72F03" w:rsidRDefault="00AF1DA9" w:rsidP="00C72F03">
            <w:pPr>
              <w:spacing w:before="120" w:after="120" w:line="276" w:lineRule="auto"/>
              <w:ind w:left="122" w:right="408" w:firstLine="20"/>
              <w:rPr>
                <w:sz w:val="32"/>
                <w:szCs w:val="32"/>
              </w:rPr>
            </w:pPr>
            <w:r w:rsidRPr="00C72F03">
              <w:rPr>
                <w:sz w:val="32"/>
                <w:szCs w:val="32"/>
              </w:rPr>
              <w:t>Total Lesbian, Gay or Bisexual people</w:t>
            </w:r>
          </w:p>
        </w:tc>
        <w:tc>
          <w:tcPr>
            <w:tcW w:w="1984" w:type="dxa"/>
            <w:shd w:val="clear" w:color="auto" w:fill="auto"/>
            <w:tcMar>
              <w:top w:w="10" w:type="dxa"/>
              <w:left w:w="10" w:type="dxa"/>
              <w:bottom w:w="0" w:type="dxa"/>
              <w:right w:w="10" w:type="dxa"/>
            </w:tcMar>
            <w:vAlign w:val="center"/>
          </w:tcPr>
          <w:p w14:paraId="39A50309" w14:textId="77777777" w:rsidR="00AF1DA9" w:rsidRPr="00C72F03" w:rsidRDefault="00AF1DA9" w:rsidP="000C54CE">
            <w:pPr>
              <w:spacing w:before="120" w:after="120" w:line="276" w:lineRule="auto"/>
              <w:ind w:left="351" w:right="137"/>
              <w:jc w:val="right"/>
              <w:rPr>
                <w:sz w:val="32"/>
                <w:szCs w:val="32"/>
              </w:rPr>
            </w:pPr>
            <w:r w:rsidRPr="00C72F03">
              <w:rPr>
                <w:sz w:val="32"/>
                <w:szCs w:val="32"/>
              </w:rPr>
              <w:t>243</w:t>
            </w:r>
          </w:p>
        </w:tc>
        <w:tc>
          <w:tcPr>
            <w:tcW w:w="1985" w:type="dxa"/>
            <w:shd w:val="clear" w:color="auto" w:fill="auto"/>
            <w:tcMar>
              <w:top w:w="10" w:type="dxa"/>
              <w:left w:w="10" w:type="dxa"/>
              <w:bottom w:w="0" w:type="dxa"/>
              <w:right w:w="10" w:type="dxa"/>
            </w:tcMar>
            <w:vAlign w:val="center"/>
          </w:tcPr>
          <w:p w14:paraId="0A725294"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251</w:t>
            </w:r>
          </w:p>
        </w:tc>
        <w:tc>
          <w:tcPr>
            <w:tcW w:w="2268" w:type="dxa"/>
            <w:shd w:val="clear" w:color="auto" w:fill="auto"/>
            <w:tcMar>
              <w:top w:w="10" w:type="dxa"/>
              <w:left w:w="10" w:type="dxa"/>
              <w:bottom w:w="0" w:type="dxa"/>
              <w:right w:w="10" w:type="dxa"/>
            </w:tcMar>
            <w:vAlign w:val="center"/>
          </w:tcPr>
          <w:p w14:paraId="5ED6B73A" w14:textId="77777777" w:rsidR="00AF1DA9" w:rsidRPr="00C72F03" w:rsidRDefault="00AF1DA9" w:rsidP="00C72F03">
            <w:pPr>
              <w:spacing w:before="120" w:after="120" w:line="276" w:lineRule="auto"/>
              <w:ind w:left="460" w:right="263"/>
              <w:jc w:val="right"/>
              <w:rPr>
                <w:sz w:val="32"/>
                <w:szCs w:val="32"/>
              </w:rPr>
            </w:pPr>
            <w:r w:rsidRPr="00C72F03">
              <w:rPr>
                <w:sz w:val="32"/>
                <w:szCs w:val="32"/>
              </w:rPr>
              <w:t>3.3</w:t>
            </w:r>
          </w:p>
        </w:tc>
        <w:tc>
          <w:tcPr>
            <w:tcW w:w="2126" w:type="dxa"/>
            <w:shd w:val="clear" w:color="auto" w:fill="auto"/>
            <w:tcMar>
              <w:top w:w="10" w:type="dxa"/>
              <w:left w:w="10" w:type="dxa"/>
              <w:bottom w:w="0" w:type="dxa"/>
              <w:right w:w="10" w:type="dxa"/>
            </w:tcMar>
            <w:vAlign w:val="center"/>
          </w:tcPr>
          <w:p w14:paraId="6E402680"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12.6</w:t>
            </w:r>
          </w:p>
        </w:tc>
        <w:tc>
          <w:tcPr>
            <w:tcW w:w="2268" w:type="dxa"/>
            <w:shd w:val="clear" w:color="auto" w:fill="auto"/>
            <w:tcMar>
              <w:top w:w="10" w:type="dxa"/>
              <w:left w:w="10" w:type="dxa"/>
              <w:bottom w:w="0" w:type="dxa"/>
              <w:right w:w="10" w:type="dxa"/>
            </w:tcMar>
            <w:vAlign w:val="center"/>
          </w:tcPr>
          <w:p w14:paraId="2E11F510" w14:textId="77777777" w:rsidR="00AF1DA9" w:rsidRPr="00C72F03" w:rsidRDefault="00AF1DA9" w:rsidP="00C72F03">
            <w:pPr>
              <w:spacing w:before="120" w:after="120" w:line="276" w:lineRule="auto"/>
              <w:ind w:right="274"/>
              <w:jc w:val="right"/>
              <w:rPr>
                <w:sz w:val="32"/>
                <w:szCs w:val="32"/>
              </w:rPr>
            </w:pPr>
            <w:r w:rsidRPr="00C72F03">
              <w:rPr>
                <w:sz w:val="32"/>
                <w:szCs w:val="32"/>
              </w:rPr>
              <w:t>12.7</w:t>
            </w:r>
          </w:p>
        </w:tc>
      </w:tr>
      <w:tr w:rsidR="00161989" w:rsidRPr="00C72F03" w14:paraId="4414F59B" w14:textId="77777777" w:rsidTr="00FC371C">
        <w:trPr>
          <w:trHeight w:val="270"/>
        </w:trPr>
        <w:tc>
          <w:tcPr>
            <w:tcW w:w="4810" w:type="dxa"/>
            <w:shd w:val="clear" w:color="auto" w:fill="auto"/>
            <w:tcMar>
              <w:top w:w="10" w:type="dxa"/>
              <w:left w:w="10" w:type="dxa"/>
              <w:bottom w:w="0" w:type="dxa"/>
              <w:right w:w="10" w:type="dxa"/>
            </w:tcMar>
            <w:vAlign w:val="center"/>
          </w:tcPr>
          <w:p w14:paraId="67C58939" w14:textId="77777777" w:rsidR="00AF1DA9" w:rsidRPr="00C72F03" w:rsidRDefault="00AF1DA9" w:rsidP="00C72F03">
            <w:pPr>
              <w:spacing w:before="120" w:after="120" w:line="276" w:lineRule="auto"/>
              <w:ind w:left="122" w:right="408" w:firstLine="20"/>
              <w:rPr>
                <w:sz w:val="32"/>
                <w:szCs w:val="32"/>
              </w:rPr>
            </w:pPr>
            <w:r w:rsidRPr="00C72F03">
              <w:rPr>
                <w:sz w:val="32"/>
                <w:szCs w:val="32"/>
              </w:rPr>
              <w:t>Total Older People</w:t>
            </w:r>
          </w:p>
        </w:tc>
        <w:tc>
          <w:tcPr>
            <w:tcW w:w="1984" w:type="dxa"/>
            <w:shd w:val="clear" w:color="auto" w:fill="auto"/>
            <w:tcMar>
              <w:top w:w="10" w:type="dxa"/>
              <w:left w:w="10" w:type="dxa"/>
              <w:bottom w:w="0" w:type="dxa"/>
              <w:right w:w="10" w:type="dxa"/>
            </w:tcMar>
            <w:vAlign w:val="center"/>
          </w:tcPr>
          <w:p w14:paraId="202E4054" w14:textId="77777777" w:rsidR="00AF1DA9" w:rsidRPr="00C72F03" w:rsidRDefault="00AF1DA9" w:rsidP="000C54CE">
            <w:pPr>
              <w:spacing w:before="120" w:after="120" w:line="276" w:lineRule="auto"/>
              <w:ind w:left="351" w:right="137"/>
              <w:jc w:val="right"/>
              <w:rPr>
                <w:sz w:val="32"/>
                <w:szCs w:val="32"/>
              </w:rPr>
            </w:pPr>
            <w:r w:rsidRPr="00C72F03">
              <w:rPr>
                <w:sz w:val="32"/>
                <w:szCs w:val="32"/>
              </w:rPr>
              <w:t>473</w:t>
            </w:r>
          </w:p>
        </w:tc>
        <w:tc>
          <w:tcPr>
            <w:tcW w:w="1985" w:type="dxa"/>
            <w:shd w:val="clear" w:color="auto" w:fill="auto"/>
            <w:tcMar>
              <w:top w:w="10" w:type="dxa"/>
              <w:left w:w="10" w:type="dxa"/>
              <w:bottom w:w="0" w:type="dxa"/>
              <w:right w:w="10" w:type="dxa"/>
            </w:tcMar>
            <w:vAlign w:val="center"/>
          </w:tcPr>
          <w:p w14:paraId="2966A139"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424</w:t>
            </w:r>
          </w:p>
        </w:tc>
        <w:tc>
          <w:tcPr>
            <w:tcW w:w="2268" w:type="dxa"/>
            <w:shd w:val="clear" w:color="auto" w:fill="auto"/>
            <w:tcMar>
              <w:top w:w="10" w:type="dxa"/>
              <w:left w:w="10" w:type="dxa"/>
              <w:bottom w:w="0" w:type="dxa"/>
              <w:right w:w="10" w:type="dxa"/>
            </w:tcMar>
            <w:vAlign w:val="center"/>
          </w:tcPr>
          <w:p w14:paraId="6143BEDA" w14:textId="77777777" w:rsidR="00AF1DA9" w:rsidRPr="00C72F03" w:rsidRDefault="00AF1DA9" w:rsidP="00C72F03">
            <w:pPr>
              <w:spacing w:before="120" w:after="120" w:line="276" w:lineRule="auto"/>
              <w:ind w:left="460" w:right="263"/>
              <w:jc w:val="right"/>
              <w:rPr>
                <w:sz w:val="32"/>
                <w:szCs w:val="32"/>
              </w:rPr>
            </w:pPr>
            <w:r w:rsidRPr="00C72F03">
              <w:rPr>
                <w:sz w:val="32"/>
                <w:szCs w:val="32"/>
              </w:rPr>
              <w:t>-10.4</w:t>
            </w:r>
          </w:p>
        </w:tc>
        <w:tc>
          <w:tcPr>
            <w:tcW w:w="2126" w:type="dxa"/>
            <w:shd w:val="clear" w:color="auto" w:fill="auto"/>
            <w:tcMar>
              <w:top w:w="10" w:type="dxa"/>
              <w:left w:w="10" w:type="dxa"/>
              <w:bottom w:w="0" w:type="dxa"/>
              <w:right w:w="10" w:type="dxa"/>
            </w:tcMar>
            <w:vAlign w:val="center"/>
          </w:tcPr>
          <w:p w14:paraId="7EFDA568"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24.5</w:t>
            </w:r>
          </w:p>
        </w:tc>
        <w:tc>
          <w:tcPr>
            <w:tcW w:w="2268" w:type="dxa"/>
            <w:shd w:val="clear" w:color="auto" w:fill="auto"/>
            <w:tcMar>
              <w:top w:w="10" w:type="dxa"/>
              <w:left w:w="10" w:type="dxa"/>
              <w:bottom w:w="0" w:type="dxa"/>
              <w:right w:w="10" w:type="dxa"/>
            </w:tcMar>
            <w:vAlign w:val="center"/>
          </w:tcPr>
          <w:p w14:paraId="63BF7C6B" w14:textId="77777777" w:rsidR="00AF1DA9" w:rsidRPr="00C72F03" w:rsidRDefault="00AF1DA9" w:rsidP="00C72F03">
            <w:pPr>
              <w:spacing w:before="120" w:after="120" w:line="276" w:lineRule="auto"/>
              <w:ind w:right="274"/>
              <w:jc w:val="right"/>
              <w:rPr>
                <w:sz w:val="32"/>
                <w:szCs w:val="32"/>
              </w:rPr>
            </w:pPr>
            <w:r w:rsidRPr="00C72F03">
              <w:rPr>
                <w:sz w:val="32"/>
                <w:szCs w:val="32"/>
              </w:rPr>
              <w:t>21.5</w:t>
            </w:r>
          </w:p>
        </w:tc>
      </w:tr>
      <w:tr w:rsidR="00161989" w:rsidRPr="00C72F03" w14:paraId="6694E8A1" w14:textId="77777777" w:rsidTr="00FC371C">
        <w:trPr>
          <w:trHeight w:val="270"/>
        </w:trPr>
        <w:tc>
          <w:tcPr>
            <w:tcW w:w="4810" w:type="dxa"/>
            <w:shd w:val="clear" w:color="auto" w:fill="auto"/>
            <w:tcMar>
              <w:top w:w="10" w:type="dxa"/>
              <w:left w:w="10" w:type="dxa"/>
              <w:bottom w:w="0" w:type="dxa"/>
              <w:right w:w="10" w:type="dxa"/>
            </w:tcMar>
            <w:vAlign w:val="center"/>
          </w:tcPr>
          <w:p w14:paraId="731F01E3" w14:textId="77777777" w:rsidR="00AF1DA9" w:rsidRPr="00C72F03" w:rsidRDefault="00AF1DA9" w:rsidP="00C72F03">
            <w:pPr>
              <w:spacing w:before="120" w:after="120" w:line="276" w:lineRule="auto"/>
              <w:ind w:left="122" w:right="408" w:firstLine="20"/>
              <w:rPr>
                <w:sz w:val="32"/>
                <w:szCs w:val="32"/>
              </w:rPr>
            </w:pPr>
            <w:r w:rsidRPr="00C72F03">
              <w:rPr>
                <w:sz w:val="32"/>
                <w:szCs w:val="32"/>
              </w:rPr>
              <w:t>Total Young People</w:t>
            </w:r>
          </w:p>
        </w:tc>
        <w:tc>
          <w:tcPr>
            <w:tcW w:w="1984" w:type="dxa"/>
            <w:shd w:val="clear" w:color="auto" w:fill="auto"/>
            <w:tcMar>
              <w:top w:w="10" w:type="dxa"/>
              <w:left w:w="10" w:type="dxa"/>
              <w:bottom w:w="0" w:type="dxa"/>
              <w:right w:w="10" w:type="dxa"/>
            </w:tcMar>
            <w:vAlign w:val="center"/>
          </w:tcPr>
          <w:p w14:paraId="079865B8" w14:textId="77777777" w:rsidR="00AF1DA9" w:rsidRPr="00C72F03" w:rsidRDefault="00AF1DA9" w:rsidP="000C54CE">
            <w:pPr>
              <w:spacing w:before="120" w:after="120" w:line="276" w:lineRule="auto"/>
              <w:ind w:left="351" w:right="137"/>
              <w:jc w:val="right"/>
              <w:rPr>
                <w:sz w:val="32"/>
                <w:szCs w:val="32"/>
              </w:rPr>
            </w:pPr>
            <w:r w:rsidRPr="00C72F03">
              <w:rPr>
                <w:sz w:val="32"/>
                <w:szCs w:val="32"/>
              </w:rPr>
              <w:t>317</w:t>
            </w:r>
          </w:p>
        </w:tc>
        <w:tc>
          <w:tcPr>
            <w:tcW w:w="1985" w:type="dxa"/>
            <w:shd w:val="clear" w:color="auto" w:fill="auto"/>
            <w:tcMar>
              <w:top w:w="10" w:type="dxa"/>
              <w:left w:w="10" w:type="dxa"/>
              <w:bottom w:w="0" w:type="dxa"/>
              <w:right w:w="10" w:type="dxa"/>
            </w:tcMar>
            <w:vAlign w:val="center"/>
          </w:tcPr>
          <w:p w14:paraId="7C82E7E2"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277</w:t>
            </w:r>
          </w:p>
        </w:tc>
        <w:tc>
          <w:tcPr>
            <w:tcW w:w="2268" w:type="dxa"/>
            <w:shd w:val="clear" w:color="auto" w:fill="auto"/>
            <w:tcMar>
              <w:top w:w="10" w:type="dxa"/>
              <w:left w:w="10" w:type="dxa"/>
              <w:bottom w:w="0" w:type="dxa"/>
              <w:right w:w="10" w:type="dxa"/>
            </w:tcMar>
            <w:vAlign w:val="center"/>
          </w:tcPr>
          <w:p w14:paraId="4506B11A" w14:textId="77777777" w:rsidR="00AF1DA9" w:rsidRPr="00C72F03" w:rsidRDefault="00AF1DA9" w:rsidP="00C72F03">
            <w:pPr>
              <w:spacing w:before="120" w:after="120" w:line="276" w:lineRule="auto"/>
              <w:ind w:left="460" w:right="263"/>
              <w:jc w:val="right"/>
              <w:rPr>
                <w:sz w:val="32"/>
                <w:szCs w:val="32"/>
              </w:rPr>
            </w:pPr>
            <w:r w:rsidRPr="00C72F03">
              <w:rPr>
                <w:sz w:val="32"/>
                <w:szCs w:val="32"/>
              </w:rPr>
              <w:t>-12.6</w:t>
            </w:r>
          </w:p>
        </w:tc>
        <w:tc>
          <w:tcPr>
            <w:tcW w:w="2126" w:type="dxa"/>
            <w:shd w:val="clear" w:color="auto" w:fill="auto"/>
            <w:tcMar>
              <w:top w:w="10" w:type="dxa"/>
              <w:left w:w="10" w:type="dxa"/>
              <w:bottom w:w="0" w:type="dxa"/>
              <w:right w:w="10" w:type="dxa"/>
            </w:tcMar>
            <w:vAlign w:val="center"/>
          </w:tcPr>
          <w:p w14:paraId="2CC510C8"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16.4</w:t>
            </w:r>
          </w:p>
        </w:tc>
        <w:tc>
          <w:tcPr>
            <w:tcW w:w="2268" w:type="dxa"/>
            <w:shd w:val="clear" w:color="auto" w:fill="auto"/>
            <w:tcMar>
              <w:top w:w="10" w:type="dxa"/>
              <w:left w:w="10" w:type="dxa"/>
              <w:bottom w:w="0" w:type="dxa"/>
              <w:right w:w="10" w:type="dxa"/>
            </w:tcMar>
            <w:vAlign w:val="center"/>
          </w:tcPr>
          <w:p w14:paraId="1F21966F" w14:textId="77777777" w:rsidR="00AF1DA9" w:rsidRPr="00C72F03" w:rsidRDefault="00AF1DA9" w:rsidP="00C72F03">
            <w:pPr>
              <w:spacing w:before="120" w:after="120" w:line="276" w:lineRule="auto"/>
              <w:ind w:right="274"/>
              <w:jc w:val="right"/>
              <w:rPr>
                <w:sz w:val="32"/>
                <w:szCs w:val="32"/>
              </w:rPr>
            </w:pPr>
            <w:r w:rsidRPr="00C72F03">
              <w:rPr>
                <w:sz w:val="32"/>
                <w:szCs w:val="32"/>
              </w:rPr>
              <w:t>14.1</w:t>
            </w:r>
          </w:p>
        </w:tc>
      </w:tr>
      <w:tr w:rsidR="00161989" w:rsidRPr="00C72F03" w14:paraId="76A87036" w14:textId="77777777" w:rsidTr="00FC371C">
        <w:trPr>
          <w:trHeight w:val="270"/>
        </w:trPr>
        <w:tc>
          <w:tcPr>
            <w:tcW w:w="4810" w:type="dxa"/>
            <w:shd w:val="clear" w:color="auto" w:fill="auto"/>
            <w:tcMar>
              <w:top w:w="10" w:type="dxa"/>
              <w:left w:w="10" w:type="dxa"/>
              <w:bottom w:w="0" w:type="dxa"/>
              <w:right w:w="10" w:type="dxa"/>
            </w:tcMar>
            <w:vAlign w:val="center"/>
          </w:tcPr>
          <w:p w14:paraId="79AD4D30" w14:textId="77777777" w:rsidR="00AF1DA9" w:rsidRPr="00C72F03" w:rsidRDefault="00AF1DA9" w:rsidP="00C72F03">
            <w:pPr>
              <w:spacing w:before="120" w:after="120" w:line="276" w:lineRule="auto"/>
              <w:ind w:left="122" w:right="408" w:firstLine="20"/>
              <w:rPr>
                <w:sz w:val="32"/>
                <w:szCs w:val="32"/>
              </w:rPr>
            </w:pPr>
            <w:r w:rsidRPr="00C72F03">
              <w:rPr>
                <w:sz w:val="32"/>
                <w:szCs w:val="32"/>
              </w:rPr>
              <w:lastRenderedPageBreak/>
              <w:t>Total People with specific religious beliefs</w:t>
            </w:r>
          </w:p>
        </w:tc>
        <w:tc>
          <w:tcPr>
            <w:tcW w:w="1984" w:type="dxa"/>
            <w:shd w:val="clear" w:color="auto" w:fill="auto"/>
            <w:tcMar>
              <w:top w:w="10" w:type="dxa"/>
              <w:left w:w="10" w:type="dxa"/>
              <w:bottom w:w="0" w:type="dxa"/>
              <w:right w:w="10" w:type="dxa"/>
            </w:tcMar>
            <w:vAlign w:val="center"/>
          </w:tcPr>
          <w:p w14:paraId="08772F70" w14:textId="77777777" w:rsidR="00AF1DA9" w:rsidRPr="00C72F03" w:rsidRDefault="00AF1DA9" w:rsidP="000C54CE">
            <w:pPr>
              <w:spacing w:before="120" w:after="120" w:line="276" w:lineRule="auto"/>
              <w:ind w:left="351" w:right="137"/>
              <w:jc w:val="right"/>
              <w:rPr>
                <w:sz w:val="32"/>
                <w:szCs w:val="32"/>
              </w:rPr>
            </w:pPr>
            <w:r w:rsidRPr="00C72F03">
              <w:rPr>
                <w:sz w:val="32"/>
                <w:szCs w:val="32"/>
              </w:rPr>
              <w:t>248</w:t>
            </w:r>
          </w:p>
        </w:tc>
        <w:tc>
          <w:tcPr>
            <w:tcW w:w="1985" w:type="dxa"/>
            <w:shd w:val="clear" w:color="auto" w:fill="auto"/>
            <w:tcMar>
              <w:top w:w="10" w:type="dxa"/>
              <w:left w:w="10" w:type="dxa"/>
              <w:bottom w:w="0" w:type="dxa"/>
              <w:right w:w="10" w:type="dxa"/>
            </w:tcMar>
            <w:vAlign w:val="center"/>
          </w:tcPr>
          <w:p w14:paraId="5F639F0C"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257</w:t>
            </w:r>
          </w:p>
        </w:tc>
        <w:tc>
          <w:tcPr>
            <w:tcW w:w="2268" w:type="dxa"/>
            <w:shd w:val="clear" w:color="auto" w:fill="auto"/>
            <w:tcMar>
              <w:top w:w="10" w:type="dxa"/>
              <w:left w:w="10" w:type="dxa"/>
              <w:bottom w:w="0" w:type="dxa"/>
              <w:right w:w="10" w:type="dxa"/>
            </w:tcMar>
            <w:vAlign w:val="center"/>
          </w:tcPr>
          <w:p w14:paraId="0BD97484" w14:textId="77777777" w:rsidR="00AF1DA9" w:rsidRPr="00C72F03" w:rsidRDefault="00AF1DA9" w:rsidP="00C72F03">
            <w:pPr>
              <w:spacing w:before="120" w:after="120" w:line="276" w:lineRule="auto"/>
              <w:ind w:left="460" w:right="263"/>
              <w:jc w:val="right"/>
              <w:rPr>
                <w:sz w:val="32"/>
                <w:szCs w:val="32"/>
              </w:rPr>
            </w:pPr>
            <w:r w:rsidRPr="00C72F03">
              <w:rPr>
                <w:sz w:val="32"/>
                <w:szCs w:val="32"/>
              </w:rPr>
              <w:t>3.6</w:t>
            </w:r>
          </w:p>
        </w:tc>
        <w:tc>
          <w:tcPr>
            <w:tcW w:w="2126" w:type="dxa"/>
            <w:shd w:val="clear" w:color="auto" w:fill="auto"/>
            <w:tcMar>
              <w:top w:w="10" w:type="dxa"/>
              <w:left w:w="10" w:type="dxa"/>
              <w:bottom w:w="0" w:type="dxa"/>
              <w:right w:w="10" w:type="dxa"/>
            </w:tcMar>
            <w:vAlign w:val="center"/>
          </w:tcPr>
          <w:p w14:paraId="3057A7AC"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12.8</w:t>
            </w:r>
          </w:p>
        </w:tc>
        <w:tc>
          <w:tcPr>
            <w:tcW w:w="2268" w:type="dxa"/>
            <w:shd w:val="clear" w:color="auto" w:fill="auto"/>
            <w:tcMar>
              <w:top w:w="10" w:type="dxa"/>
              <w:left w:w="10" w:type="dxa"/>
              <w:bottom w:w="0" w:type="dxa"/>
              <w:right w:w="10" w:type="dxa"/>
            </w:tcMar>
            <w:vAlign w:val="center"/>
          </w:tcPr>
          <w:p w14:paraId="2DC84269" w14:textId="77777777" w:rsidR="00AF1DA9" w:rsidRPr="00C72F03" w:rsidRDefault="00AF1DA9" w:rsidP="00C72F03">
            <w:pPr>
              <w:spacing w:before="120" w:after="120" w:line="276" w:lineRule="auto"/>
              <w:ind w:right="274"/>
              <w:jc w:val="right"/>
              <w:rPr>
                <w:sz w:val="32"/>
                <w:szCs w:val="32"/>
              </w:rPr>
            </w:pPr>
            <w:r w:rsidRPr="00C72F03">
              <w:rPr>
                <w:sz w:val="32"/>
                <w:szCs w:val="32"/>
              </w:rPr>
              <w:t>13.1</w:t>
            </w:r>
          </w:p>
        </w:tc>
      </w:tr>
      <w:tr w:rsidR="00161989" w:rsidRPr="00C72F03" w14:paraId="3308DF92" w14:textId="77777777" w:rsidTr="00FC371C">
        <w:trPr>
          <w:trHeight w:val="270"/>
        </w:trPr>
        <w:tc>
          <w:tcPr>
            <w:tcW w:w="4810" w:type="dxa"/>
            <w:shd w:val="clear" w:color="auto" w:fill="auto"/>
            <w:tcMar>
              <w:top w:w="10" w:type="dxa"/>
              <w:left w:w="10" w:type="dxa"/>
              <w:bottom w:w="0" w:type="dxa"/>
              <w:right w:w="10" w:type="dxa"/>
            </w:tcMar>
            <w:vAlign w:val="center"/>
          </w:tcPr>
          <w:p w14:paraId="36E5BF0E" w14:textId="77777777" w:rsidR="00AF1DA9" w:rsidRPr="00C72F03" w:rsidRDefault="00AF1DA9" w:rsidP="00C72F03">
            <w:pPr>
              <w:spacing w:before="120" w:after="120" w:line="276" w:lineRule="auto"/>
              <w:ind w:left="122" w:right="408" w:firstLine="20"/>
              <w:rPr>
                <w:sz w:val="32"/>
                <w:szCs w:val="32"/>
              </w:rPr>
            </w:pPr>
            <w:r w:rsidRPr="00C72F03">
              <w:rPr>
                <w:sz w:val="32"/>
                <w:szCs w:val="32"/>
              </w:rPr>
              <w:t>Total Women who are pregnant or on maternity leave</w:t>
            </w:r>
          </w:p>
        </w:tc>
        <w:tc>
          <w:tcPr>
            <w:tcW w:w="1984" w:type="dxa"/>
            <w:shd w:val="clear" w:color="auto" w:fill="auto"/>
            <w:tcMar>
              <w:top w:w="10" w:type="dxa"/>
              <w:left w:w="10" w:type="dxa"/>
              <w:bottom w:w="0" w:type="dxa"/>
              <w:right w:w="10" w:type="dxa"/>
            </w:tcMar>
            <w:vAlign w:val="center"/>
          </w:tcPr>
          <w:p w14:paraId="26DF443E" w14:textId="77777777" w:rsidR="00AF1DA9" w:rsidRPr="00C72F03" w:rsidRDefault="00AF1DA9" w:rsidP="000C54CE">
            <w:pPr>
              <w:spacing w:before="120" w:after="120" w:line="276" w:lineRule="auto"/>
              <w:ind w:left="351" w:right="137"/>
              <w:jc w:val="right"/>
              <w:rPr>
                <w:sz w:val="32"/>
                <w:szCs w:val="32"/>
              </w:rPr>
            </w:pPr>
            <w:r w:rsidRPr="00C72F03">
              <w:rPr>
                <w:sz w:val="32"/>
                <w:szCs w:val="32"/>
              </w:rPr>
              <w:t>39</w:t>
            </w:r>
          </w:p>
        </w:tc>
        <w:tc>
          <w:tcPr>
            <w:tcW w:w="1985" w:type="dxa"/>
            <w:shd w:val="clear" w:color="auto" w:fill="auto"/>
            <w:tcMar>
              <w:top w:w="10" w:type="dxa"/>
              <w:left w:w="10" w:type="dxa"/>
              <w:bottom w:w="0" w:type="dxa"/>
              <w:right w:w="10" w:type="dxa"/>
            </w:tcMar>
            <w:vAlign w:val="center"/>
          </w:tcPr>
          <w:p w14:paraId="5E49D54A"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30</w:t>
            </w:r>
          </w:p>
        </w:tc>
        <w:tc>
          <w:tcPr>
            <w:tcW w:w="2268" w:type="dxa"/>
            <w:shd w:val="clear" w:color="auto" w:fill="auto"/>
            <w:tcMar>
              <w:top w:w="10" w:type="dxa"/>
              <w:left w:w="10" w:type="dxa"/>
              <w:bottom w:w="0" w:type="dxa"/>
              <w:right w:w="10" w:type="dxa"/>
            </w:tcMar>
            <w:vAlign w:val="center"/>
          </w:tcPr>
          <w:p w14:paraId="51885EC2" w14:textId="77777777" w:rsidR="00AF1DA9" w:rsidRPr="00C72F03" w:rsidRDefault="00AF1DA9" w:rsidP="00C72F03">
            <w:pPr>
              <w:spacing w:before="120" w:after="120" w:line="276" w:lineRule="auto"/>
              <w:ind w:left="460" w:right="263"/>
              <w:jc w:val="right"/>
              <w:rPr>
                <w:sz w:val="32"/>
                <w:szCs w:val="32"/>
              </w:rPr>
            </w:pPr>
            <w:r w:rsidRPr="00C72F03">
              <w:rPr>
                <w:sz w:val="32"/>
                <w:szCs w:val="32"/>
              </w:rPr>
              <w:t>-23.1</w:t>
            </w:r>
          </w:p>
        </w:tc>
        <w:tc>
          <w:tcPr>
            <w:tcW w:w="2126" w:type="dxa"/>
            <w:shd w:val="clear" w:color="auto" w:fill="auto"/>
            <w:tcMar>
              <w:top w:w="10" w:type="dxa"/>
              <w:left w:w="10" w:type="dxa"/>
              <w:bottom w:w="0" w:type="dxa"/>
              <w:right w:w="10" w:type="dxa"/>
            </w:tcMar>
            <w:vAlign w:val="center"/>
          </w:tcPr>
          <w:p w14:paraId="77A82160"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2.0</w:t>
            </w:r>
          </w:p>
        </w:tc>
        <w:tc>
          <w:tcPr>
            <w:tcW w:w="2268" w:type="dxa"/>
            <w:shd w:val="clear" w:color="auto" w:fill="auto"/>
            <w:tcMar>
              <w:top w:w="10" w:type="dxa"/>
              <w:left w:w="10" w:type="dxa"/>
              <w:bottom w:w="0" w:type="dxa"/>
              <w:right w:w="10" w:type="dxa"/>
            </w:tcMar>
            <w:vAlign w:val="center"/>
          </w:tcPr>
          <w:p w14:paraId="0815451B" w14:textId="77777777" w:rsidR="00AF1DA9" w:rsidRPr="00C72F03" w:rsidRDefault="00AF1DA9" w:rsidP="00C72F03">
            <w:pPr>
              <w:spacing w:before="120" w:after="120" w:line="276" w:lineRule="auto"/>
              <w:ind w:right="274"/>
              <w:jc w:val="right"/>
              <w:rPr>
                <w:sz w:val="32"/>
                <w:szCs w:val="32"/>
              </w:rPr>
            </w:pPr>
            <w:r w:rsidRPr="00C72F03">
              <w:rPr>
                <w:sz w:val="32"/>
                <w:szCs w:val="32"/>
              </w:rPr>
              <w:t>1.5</w:t>
            </w:r>
          </w:p>
        </w:tc>
      </w:tr>
      <w:tr w:rsidR="00161989" w:rsidRPr="00C72F03" w14:paraId="6E8E6E13" w14:textId="77777777" w:rsidTr="00FC371C">
        <w:trPr>
          <w:trHeight w:val="270"/>
        </w:trPr>
        <w:tc>
          <w:tcPr>
            <w:tcW w:w="4810" w:type="dxa"/>
            <w:shd w:val="clear" w:color="auto" w:fill="auto"/>
            <w:tcMar>
              <w:top w:w="10" w:type="dxa"/>
              <w:left w:w="10" w:type="dxa"/>
              <w:bottom w:w="0" w:type="dxa"/>
              <w:right w:w="10" w:type="dxa"/>
            </w:tcMar>
            <w:vAlign w:val="center"/>
          </w:tcPr>
          <w:p w14:paraId="7675B7CE" w14:textId="77777777" w:rsidR="00AF1DA9" w:rsidRPr="00C72F03" w:rsidRDefault="00AF1DA9" w:rsidP="00C72F03">
            <w:pPr>
              <w:spacing w:before="120" w:after="120" w:line="276" w:lineRule="auto"/>
              <w:ind w:left="122" w:right="408" w:firstLine="20"/>
              <w:rPr>
                <w:sz w:val="32"/>
                <w:szCs w:val="32"/>
              </w:rPr>
            </w:pPr>
            <w:r w:rsidRPr="00C72F03">
              <w:rPr>
                <w:sz w:val="32"/>
                <w:szCs w:val="32"/>
              </w:rPr>
              <w:t>Total Transgender people</w:t>
            </w:r>
          </w:p>
        </w:tc>
        <w:tc>
          <w:tcPr>
            <w:tcW w:w="1984" w:type="dxa"/>
            <w:shd w:val="clear" w:color="auto" w:fill="auto"/>
            <w:tcMar>
              <w:top w:w="10" w:type="dxa"/>
              <w:left w:w="10" w:type="dxa"/>
              <w:bottom w:w="0" w:type="dxa"/>
              <w:right w:w="10" w:type="dxa"/>
            </w:tcMar>
            <w:vAlign w:val="center"/>
          </w:tcPr>
          <w:p w14:paraId="1D195CE3" w14:textId="77777777" w:rsidR="00AF1DA9" w:rsidRPr="00C72F03" w:rsidRDefault="00AF1DA9" w:rsidP="000C54CE">
            <w:pPr>
              <w:spacing w:before="120" w:after="120" w:line="276" w:lineRule="auto"/>
              <w:ind w:left="351" w:right="137"/>
              <w:jc w:val="right"/>
              <w:rPr>
                <w:sz w:val="32"/>
                <w:szCs w:val="32"/>
              </w:rPr>
            </w:pPr>
            <w:r w:rsidRPr="00C72F03">
              <w:rPr>
                <w:sz w:val="32"/>
                <w:szCs w:val="32"/>
              </w:rPr>
              <w:t>24</w:t>
            </w:r>
          </w:p>
        </w:tc>
        <w:tc>
          <w:tcPr>
            <w:tcW w:w="1985" w:type="dxa"/>
            <w:shd w:val="clear" w:color="auto" w:fill="auto"/>
            <w:tcMar>
              <w:top w:w="10" w:type="dxa"/>
              <w:left w:w="10" w:type="dxa"/>
              <w:bottom w:w="0" w:type="dxa"/>
              <w:right w:w="10" w:type="dxa"/>
            </w:tcMar>
            <w:vAlign w:val="center"/>
          </w:tcPr>
          <w:p w14:paraId="710D3E76" w14:textId="77777777" w:rsidR="00AF1DA9" w:rsidRPr="00C72F03" w:rsidRDefault="00AF1DA9" w:rsidP="000C54CE">
            <w:pPr>
              <w:spacing w:before="120" w:after="120" w:line="276" w:lineRule="auto"/>
              <w:ind w:left="320" w:right="133"/>
              <w:jc w:val="right"/>
              <w:rPr>
                <w:b/>
                <w:bCs/>
                <w:sz w:val="32"/>
                <w:szCs w:val="32"/>
              </w:rPr>
            </w:pPr>
            <w:r w:rsidRPr="00C72F03">
              <w:rPr>
                <w:b/>
                <w:bCs/>
                <w:sz w:val="32"/>
                <w:szCs w:val="32"/>
              </w:rPr>
              <w:t>19</w:t>
            </w:r>
          </w:p>
        </w:tc>
        <w:tc>
          <w:tcPr>
            <w:tcW w:w="2268" w:type="dxa"/>
            <w:shd w:val="clear" w:color="auto" w:fill="auto"/>
            <w:tcMar>
              <w:top w:w="10" w:type="dxa"/>
              <w:left w:w="10" w:type="dxa"/>
              <w:bottom w:w="0" w:type="dxa"/>
              <w:right w:w="10" w:type="dxa"/>
            </w:tcMar>
            <w:vAlign w:val="center"/>
          </w:tcPr>
          <w:p w14:paraId="24223871" w14:textId="77777777" w:rsidR="00AF1DA9" w:rsidRPr="00C72F03" w:rsidRDefault="00AF1DA9" w:rsidP="00C72F03">
            <w:pPr>
              <w:spacing w:before="120" w:after="120" w:line="276" w:lineRule="auto"/>
              <w:ind w:left="460" w:right="263"/>
              <w:jc w:val="right"/>
              <w:rPr>
                <w:sz w:val="32"/>
                <w:szCs w:val="32"/>
              </w:rPr>
            </w:pPr>
            <w:r w:rsidRPr="00C72F03">
              <w:rPr>
                <w:sz w:val="32"/>
                <w:szCs w:val="32"/>
              </w:rPr>
              <w:t>-20.8</w:t>
            </w:r>
          </w:p>
        </w:tc>
        <w:tc>
          <w:tcPr>
            <w:tcW w:w="2126" w:type="dxa"/>
            <w:shd w:val="clear" w:color="auto" w:fill="auto"/>
            <w:tcMar>
              <w:top w:w="10" w:type="dxa"/>
              <w:left w:w="10" w:type="dxa"/>
              <w:bottom w:w="0" w:type="dxa"/>
              <w:right w:w="10" w:type="dxa"/>
            </w:tcMar>
            <w:vAlign w:val="center"/>
          </w:tcPr>
          <w:p w14:paraId="4FDC1F64" w14:textId="77777777" w:rsidR="00AF1DA9" w:rsidRPr="00C72F03" w:rsidRDefault="00AF1DA9" w:rsidP="00C72F03">
            <w:pPr>
              <w:spacing w:before="120" w:after="120" w:line="276" w:lineRule="auto"/>
              <w:ind w:left="-204" w:right="132" w:hanging="1"/>
              <w:jc w:val="right"/>
              <w:rPr>
                <w:sz w:val="32"/>
                <w:szCs w:val="32"/>
              </w:rPr>
            </w:pPr>
            <w:r w:rsidRPr="00C72F03">
              <w:rPr>
                <w:sz w:val="32"/>
                <w:szCs w:val="32"/>
              </w:rPr>
              <w:t>1.2</w:t>
            </w:r>
          </w:p>
        </w:tc>
        <w:tc>
          <w:tcPr>
            <w:tcW w:w="2268" w:type="dxa"/>
            <w:shd w:val="clear" w:color="auto" w:fill="auto"/>
            <w:tcMar>
              <w:top w:w="10" w:type="dxa"/>
              <w:left w:w="10" w:type="dxa"/>
              <w:bottom w:w="0" w:type="dxa"/>
              <w:right w:w="10" w:type="dxa"/>
            </w:tcMar>
            <w:vAlign w:val="center"/>
          </w:tcPr>
          <w:p w14:paraId="4AAD1F16" w14:textId="77777777" w:rsidR="00AF1DA9" w:rsidRPr="00C72F03" w:rsidRDefault="00AF1DA9" w:rsidP="00C72F03">
            <w:pPr>
              <w:spacing w:before="120" w:after="120" w:line="276" w:lineRule="auto"/>
              <w:ind w:right="274"/>
              <w:jc w:val="right"/>
              <w:rPr>
                <w:sz w:val="32"/>
                <w:szCs w:val="32"/>
              </w:rPr>
            </w:pPr>
            <w:r w:rsidRPr="00C72F03">
              <w:rPr>
                <w:sz w:val="32"/>
                <w:szCs w:val="32"/>
              </w:rPr>
              <w:t>1.0</w:t>
            </w:r>
          </w:p>
        </w:tc>
      </w:tr>
    </w:tbl>
    <w:p w14:paraId="05B9D22D" w14:textId="77777777" w:rsidR="00AF1DA9" w:rsidRDefault="00AF1DA9" w:rsidP="00863F7B">
      <w:pPr>
        <w:sectPr w:rsidR="00AF1DA9" w:rsidSect="00161989">
          <w:pgSz w:w="16838" w:h="11906" w:orient="landscape"/>
          <w:pgMar w:top="1440" w:right="1440" w:bottom="1440" w:left="1440" w:header="709" w:footer="284" w:gutter="0"/>
          <w:cols w:space="708"/>
          <w:docGrid w:linePitch="490"/>
        </w:sectPr>
      </w:pPr>
    </w:p>
    <w:p w14:paraId="27EBF720" w14:textId="331381CF" w:rsidR="00427464" w:rsidRDefault="005737C2" w:rsidP="00BE57EF">
      <w:r w:rsidRPr="005737C2">
        <w:lastRenderedPageBreak/>
        <w:t xml:space="preserve">While the total number of members of Boards increases, there continues to be an encouraging increase in the number of Board members from </w:t>
      </w:r>
      <w:proofErr w:type="gramStart"/>
      <w:r w:rsidRPr="005737C2">
        <w:t>a number of</w:t>
      </w:r>
      <w:proofErr w:type="gramEnd"/>
      <w:r w:rsidRPr="005737C2">
        <w:t xml:space="preserve"> the protected characteristic groups, again specifically in relation to those from a culturally and ethnically diverse background and those with specific religious beliefs. The tables below show 19% and 13% respectively. There were however slight decreases in Lesbian, Gay or Bisexual people, </w:t>
      </w:r>
      <w:proofErr w:type="gramStart"/>
      <w:r w:rsidRPr="005737C2">
        <w:t>Older</w:t>
      </w:r>
      <w:proofErr w:type="gramEnd"/>
      <w:r w:rsidRPr="005737C2">
        <w:t xml:space="preserve"> people and Young People.</w:t>
      </w:r>
    </w:p>
    <w:p w14:paraId="37DDFBED" w14:textId="77777777" w:rsidR="003D457A" w:rsidRDefault="00427464">
      <w:pPr>
        <w:spacing w:before="0" w:after="160" w:line="259" w:lineRule="auto"/>
        <w:sectPr w:rsidR="003D457A" w:rsidSect="00A71375">
          <w:pgSz w:w="16838" w:h="11906" w:orient="landscape"/>
          <w:pgMar w:top="1985" w:right="1440" w:bottom="993" w:left="1560" w:header="708" w:footer="283" w:gutter="0"/>
          <w:cols w:space="708"/>
          <w:docGrid w:linePitch="490"/>
        </w:sectPr>
      </w:pPr>
      <w:r>
        <w:br w:type="page"/>
      </w:r>
    </w:p>
    <w:tbl>
      <w:tblPr>
        <w:tblW w:w="1493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4962"/>
        <w:gridCol w:w="1725"/>
        <w:gridCol w:w="1701"/>
        <w:gridCol w:w="26"/>
        <w:gridCol w:w="1603"/>
        <w:gridCol w:w="2548"/>
        <w:gridCol w:w="2367"/>
      </w:tblGrid>
      <w:tr w:rsidR="00427464" w:rsidRPr="00220B48" w14:paraId="21F06D10" w14:textId="77777777" w:rsidTr="00DF04B6">
        <w:trPr>
          <w:trHeight w:val="1827"/>
          <w:tblHeader/>
        </w:trPr>
        <w:tc>
          <w:tcPr>
            <w:tcW w:w="4962" w:type="dxa"/>
            <w:shd w:val="clear" w:color="auto" w:fill="auto"/>
            <w:tcMar>
              <w:top w:w="10" w:type="dxa"/>
              <w:left w:w="10" w:type="dxa"/>
              <w:bottom w:w="0" w:type="dxa"/>
              <w:right w:w="10" w:type="dxa"/>
            </w:tcMar>
            <w:vAlign w:val="center"/>
          </w:tcPr>
          <w:p w14:paraId="636E21F2" w14:textId="77777777" w:rsidR="00BE57EF" w:rsidRPr="00220B48" w:rsidRDefault="00BE57EF" w:rsidP="00033852">
            <w:pPr>
              <w:spacing w:before="120" w:after="120" w:line="276" w:lineRule="auto"/>
              <w:ind w:left="136" w:firstLine="6"/>
              <w:rPr>
                <w:sz w:val="32"/>
                <w:szCs w:val="32"/>
              </w:rPr>
            </w:pPr>
            <w:r w:rsidRPr="00220B48">
              <w:rPr>
                <w:sz w:val="32"/>
                <w:szCs w:val="32"/>
              </w:rPr>
              <w:lastRenderedPageBreak/>
              <w:t> </w:t>
            </w:r>
          </w:p>
        </w:tc>
        <w:tc>
          <w:tcPr>
            <w:tcW w:w="1725" w:type="dxa"/>
            <w:shd w:val="clear" w:color="auto" w:fill="auto"/>
            <w:tcMar>
              <w:top w:w="10" w:type="dxa"/>
              <w:left w:w="10" w:type="dxa"/>
              <w:bottom w:w="0" w:type="dxa"/>
              <w:right w:w="10" w:type="dxa"/>
            </w:tcMar>
            <w:vAlign w:val="center"/>
          </w:tcPr>
          <w:p w14:paraId="13192672" w14:textId="77777777" w:rsidR="00BE57EF" w:rsidRPr="00220B48" w:rsidRDefault="00BE57EF" w:rsidP="00033852">
            <w:pPr>
              <w:spacing w:before="120" w:after="120" w:line="276" w:lineRule="auto"/>
              <w:ind w:right="190"/>
              <w:jc w:val="right"/>
              <w:rPr>
                <w:sz w:val="32"/>
                <w:szCs w:val="32"/>
              </w:rPr>
            </w:pPr>
            <w:r w:rsidRPr="00220B48">
              <w:rPr>
                <w:sz w:val="32"/>
                <w:szCs w:val="32"/>
              </w:rPr>
              <w:t>2021/22</w:t>
            </w:r>
          </w:p>
        </w:tc>
        <w:tc>
          <w:tcPr>
            <w:tcW w:w="1701" w:type="dxa"/>
            <w:tcBorders>
              <w:right w:val="nil"/>
            </w:tcBorders>
            <w:shd w:val="clear" w:color="auto" w:fill="auto"/>
            <w:tcMar>
              <w:top w:w="10" w:type="dxa"/>
              <w:left w:w="10" w:type="dxa"/>
              <w:bottom w:w="0" w:type="dxa"/>
              <w:right w:w="10" w:type="dxa"/>
            </w:tcMar>
            <w:vAlign w:val="center"/>
          </w:tcPr>
          <w:p w14:paraId="46E49B9C" w14:textId="77777777" w:rsidR="00BE57EF" w:rsidRPr="00220B48" w:rsidRDefault="00BE57EF" w:rsidP="00033852">
            <w:pPr>
              <w:spacing w:before="120" w:after="120" w:line="276" w:lineRule="auto"/>
              <w:ind w:right="190"/>
              <w:jc w:val="right"/>
              <w:rPr>
                <w:sz w:val="32"/>
                <w:szCs w:val="32"/>
              </w:rPr>
            </w:pPr>
            <w:r w:rsidRPr="00220B48">
              <w:rPr>
                <w:sz w:val="32"/>
                <w:szCs w:val="32"/>
              </w:rPr>
              <w:t>2022/23</w:t>
            </w:r>
          </w:p>
        </w:tc>
        <w:tc>
          <w:tcPr>
            <w:tcW w:w="26" w:type="dxa"/>
            <w:tcBorders>
              <w:left w:val="nil"/>
            </w:tcBorders>
            <w:shd w:val="clear" w:color="auto" w:fill="auto"/>
            <w:vAlign w:val="center"/>
          </w:tcPr>
          <w:p w14:paraId="4B32925A"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6E256900" w14:textId="77777777" w:rsidR="00BE57EF" w:rsidRPr="00220B48" w:rsidRDefault="00BE57EF" w:rsidP="00033852">
            <w:pPr>
              <w:spacing w:before="120" w:after="120" w:line="276" w:lineRule="auto"/>
              <w:ind w:right="190"/>
              <w:jc w:val="right"/>
              <w:rPr>
                <w:sz w:val="32"/>
                <w:szCs w:val="32"/>
              </w:rPr>
            </w:pPr>
            <w:r w:rsidRPr="00220B48">
              <w:rPr>
                <w:sz w:val="32"/>
                <w:szCs w:val="32"/>
              </w:rPr>
              <w:t>% Change</w:t>
            </w:r>
          </w:p>
        </w:tc>
        <w:tc>
          <w:tcPr>
            <w:tcW w:w="2548" w:type="dxa"/>
            <w:shd w:val="clear" w:color="auto" w:fill="auto"/>
            <w:tcMar>
              <w:top w:w="10" w:type="dxa"/>
              <w:left w:w="10" w:type="dxa"/>
              <w:bottom w:w="0" w:type="dxa"/>
              <w:right w:w="10" w:type="dxa"/>
            </w:tcMar>
            <w:vAlign w:val="center"/>
          </w:tcPr>
          <w:p w14:paraId="2C3A0AD4" w14:textId="77777777" w:rsidR="00BE57EF" w:rsidRPr="00220B48" w:rsidRDefault="00BE57EF" w:rsidP="00033852">
            <w:pPr>
              <w:spacing w:before="120" w:after="120" w:line="276" w:lineRule="auto"/>
              <w:ind w:right="190"/>
              <w:jc w:val="right"/>
              <w:rPr>
                <w:sz w:val="32"/>
                <w:szCs w:val="32"/>
              </w:rPr>
            </w:pPr>
            <w:r w:rsidRPr="00220B48">
              <w:rPr>
                <w:sz w:val="32"/>
                <w:szCs w:val="32"/>
              </w:rPr>
              <w:t>% of overall Boards of Management 2021/22</w:t>
            </w:r>
          </w:p>
        </w:tc>
        <w:tc>
          <w:tcPr>
            <w:tcW w:w="2367" w:type="dxa"/>
            <w:shd w:val="clear" w:color="auto" w:fill="auto"/>
            <w:tcMar>
              <w:top w:w="10" w:type="dxa"/>
              <w:left w:w="10" w:type="dxa"/>
              <w:bottom w:w="0" w:type="dxa"/>
              <w:right w:w="10" w:type="dxa"/>
            </w:tcMar>
            <w:vAlign w:val="center"/>
          </w:tcPr>
          <w:p w14:paraId="49BE3B29" w14:textId="77777777" w:rsidR="00BE57EF" w:rsidRPr="00220B48" w:rsidRDefault="00BE57EF" w:rsidP="00033852">
            <w:pPr>
              <w:spacing w:before="120" w:after="120" w:line="276" w:lineRule="auto"/>
              <w:ind w:right="190"/>
              <w:jc w:val="right"/>
              <w:rPr>
                <w:sz w:val="32"/>
                <w:szCs w:val="32"/>
              </w:rPr>
            </w:pPr>
            <w:r w:rsidRPr="00220B48">
              <w:rPr>
                <w:sz w:val="32"/>
                <w:szCs w:val="32"/>
              </w:rPr>
              <w:t>% of overall Boards of Management 2022/23</w:t>
            </w:r>
          </w:p>
        </w:tc>
      </w:tr>
      <w:tr w:rsidR="00F246CB" w:rsidRPr="00220B48" w14:paraId="3886F3E2" w14:textId="77777777" w:rsidTr="00DF04B6">
        <w:trPr>
          <w:trHeight w:val="279"/>
        </w:trPr>
        <w:tc>
          <w:tcPr>
            <w:tcW w:w="4962" w:type="dxa"/>
            <w:shd w:val="clear" w:color="auto" w:fill="auto"/>
            <w:tcMar>
              <w:top w:w="10" w:type="dxa"/>
              <w:left w:w="10" w:type="dxa"/>
              <w:bottom w:w="0" w:type="dxa"/>
              <w:right w:w="10" w:type="dxa"/>
            </w:tcMar>
            <w:vAlign w:val="center"/>
          </w:tcPr>
          <w:p w14:paraId="1F94B823" w14:textId="77777777" w:rsidR="00BE57EF" w:rsidRPr="00220B48" w:rsidRDefault="00BE57EF" w:rsidP="00033852">
            <w:pPr>
              <w:spacing w:before="120" w:after="120" w:line="276" w:lineRule="auto"/>
              <w:ind w:left="136" w:firstLine="6"/>
              <w:rPr>
                <w:sz w:val="32"/>
                <w:szCs w:val="32"/>
              </w:rPr>
            </w:pPr>
            <w:r w:rsidRPr="00220B48">
              <w:rPr>
                <w:sz w:val="32"/>
                <w:szCs w:val="32"/>
              </w:rPr>
              <w:t>Total number on Boards of Management</w:t>
            </w:r>
          </w:p>
        </w:tc>
        <w:tc>
          <w:tcPr>
            <w:tcW w:w="1725" w:type="dxa"/>
            <w:shd w:val="clear" w:color="auto" w:fill="auto"/>
            <w:tcMar>
              <w:top w:w="10" w:type="dxa"/>
              <w:left w:w="10" w:type="dxa"/>
              <w:bottom w:w="0" w:type="dxa"/>
              <w:right w:w="10" w:type="dxa"/>
            </w:tcMar>
            <w:vAlign w:val="center"/>
          </w:tcPr>
          <w:p w14:paraId="2768C878" w14:textId="77777777" w:rsidR="00BE57EF" w:rsidRPr="00220B48" w:rsidRDefault="00BE57EF" w:rsidP="00033852">
            <w:pPr>
              <w:spacing w:before="120" w:after="120" w:line="276" w:lineRule="auto"/>
              <w:ind w:right="190"/>
              <w:jc w:val="right"/>
              <w:rPr>
                <w:sz w:val="32"/>
                <w:szCs w:val="32"/>
              </w:rPr>
            </w:pPr>
            <w:r w:rsidRPr="00220B48">
              <w:rPr>
                <w:sz w:val="32"/>
                <w:szCs w:val="32"/>
              </w:rPr>
              <w:t>456</w:t>
            </w:r>
          </w:p>
        </w:tc>
        <w:tc>
          <w:tcPr>
            <w:tcW w:w="1701" w:type="dxa"/>
            <w:tcBorders>
              <w:right w:val="nil"/>
            </w:tcBorders>
            <w:shd w:val="clear" w:color="auto" w:fill="auto"/>
            <w:tcMar>
              <w:top w:w="10" w:type="dxa"/>
              <w:left w:w="10" w:type="dxa"/>
              <w:bottom w:w="0" w:type="dxa"/>
              <w:right w:w="10" w:type="dxa"/>
            </w:tcMar>
            <w:vAlign w:val="center"/>
          </w:tcPr>
          <w:p w14:paraId="79DF6E72" w14:textId="77777777" w:rsidR="00BE57EF" w:rsidRPr="00220B48" w:rsidRDefault="00BE57EF" w:rsidP="00033852">
            <w:pPr>
              <w:spacing w:before="120" w:after="120" w:line="276" w:lineRule="auto"/>
              <w:ind w:right="190"/>
              <w:jc w:val="right"/>
              <w:rPr>
                <w:sz w:val="32"/>
                <w:szCs w:val="32"/>
              </w:rPr>
            </w:pPr>
            <w:r w:rsidRPr="00220B48">
              <w:rPr>
                <w:sz w:val="32"/>
                <w:szCs w:val="32"/>
              </w:rPr>
              <w:t>567</w:t>
            </w:r>
          </w:p>
        </w:tc>
        <w:tc>
          <w:tcPr>
            <w:tcW w:w="26" w:type="dxa"/>
            <w:tcBorders>
              <w:left w:val="nil"/>
            </w:tcBorders>
            <w:shd w:val="clear" w:color="auto" w:fill="auto"/>
            <w:vAlign w:val="center"/>
          </w:tcPr>
          <w:p w14:paraId="0B9CF6DD"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1FB7420C" w14:textId="77777777" w:rsidR="00BE57EF" w:rsidRPr="00220B48" w:rsidRDefault="00BE57EF" w:rsidP="00033852">
            <w:pPr>
              <w:spacing w:before="120" w:after="120" w:line="276" w:lineRule="auto"/>
              <w:ind w:right="190"/>
              <w:jc w:val="right"/>
              <w:rPr>
                <w:sz w:val="32"/>
                <w:szCs w:val="32"/>
              </w:rPr>
            </w:pPr>
            <w:r w:rsidRPr="00220B48">
              <w:rPr>
                <w:sz w:val="32"/>
                <w:szCs w:val="32"/>
              </w:rPr>
              <w:t>24.3</w:t>
            </w:r>
          </w:p>
        </w:tc>
        <w:tc>
          <w:tcPr>
            <w:tcW w:w="2548" w:type="dxa"/>
            <w:shd w:val="clear" w:color="auto" w:fill="auto"/>
            <w:tcMar>
              <w:top w:w="10" w:type="dxa"/>
              <w:left w:w="10" w:type="dxa"/>
              <w:bottom w:w="0" w:type="dxa"/>
              <w:right w:w="10" w:type="dxa"/>
            </w:tcMar>
            <w:vAlign w:val="center"/>
          </w:tcPr>
          <w:p w14:paraId="546D7DF5" w14:textId="77777777" w:rsidR="00BE57EF" w:rsidRPr="00220B48" w:rsidRDefault="00BE57EF" w:rsidP="00033852">
            <w:pPr>
              <w:spacing w:before="120" w:after="120" w:line="276" w:lineRule="auto"/>
              <w:ind w:right="190"/>
              <w:jc w:val="right"/>
              <w:rPr>
                <w:sz w:val="32"/>
                <w:szCs w:val="32"/>
              </w:rPr>
            </w:pPr>
            <w:r w:rsidRPr="00220B48">
              <w:rPr>
                <w:sz w:val="32"/>
                <w:szCs w:val="32"/>
              </w:rPr>
              <w:t>-</w:t>
            </w:r>
          </w:p>
        </w:tc>
        <w:tc>
          <w:tcPr>
            <w:tcW w:w="2367" w:type="dxa"/>
            <w:shd w:val="clear" w:color="auto" w:fill="auto"/>
            <w:tcMar>
              <w:top w:w="10" w:type="dxa"/>
              <w:left w:w="10" w:type="dxa"/>
              <w:bottom w:w="0" w:type="dxa"/>
              <w:right w:w="10" w:type="dxa"/>
            </w:tcMar>
            <w:vAlign w:val="center"/>
          </w:tcPr>
          <w:p w14:paraId="0785F14E" w14:textId="77777777" w:rsidR="00BE57EF" w:rsidRPr="00220B48" w:rsidRDefault="00BE57EF" w:rsidP="00033852">
            <w:pPr>
              <w:spacing w:before="120" w:after="120" w:line="276" w:lineRule="auto"/>
              <w:ind w:right="190"/>
              <w:jc w:val="right"/>
              <w:rPr>
                <w:sz w:val="32"/>
                <w:szCs w:val="32"/>
              </w:rPr>
            </w:pPr>
            <w:r w:rsidRPr="00220B48">
              <w:rPr>
                <w:sz w:val="32"/>
                <w:szCs w:val="32"/>
              </w:rPr>
              <w:t>-</w:t>
            </w:r>
          </w:p>
        </w:tc>
      </w:tr>
      <w:tr w:rsidR="00F246CB" w:rsidRPr="00220B48" w14:paraId="603958B4" w14:textId="77777777" w:rsidTr="00DF04B6">
        <w:trPr>
          <w:trHeight w:val="270"/>
        </w:trPr>
        <w:tc>
          <w:tcPr>
            <w:tcW w:w="4962" w:type="dxa"/>
            <w:shd w:val="clear" w:color="auto" w:fill="auto"/>
            <w:tcMar>
              <w:top w:w="10" w:type="dxa"/>
              <w:left w:w="10" w:type="dxa"/>
              <w:bottom w:w="0" w:type="dxa"/>
              <w:right w:w="10" w:type="dxa"/>
            </w:tcMar>
            <w:vAlign w:val="center"/>
          </w:tcPr>
          <w:p w14:paraId="6A2129BA" w14:textId="77777777" w:rsidR="00BE57EF" w:rsidRPr="00220B48" w:rsidRDefault="00BE57EF" w:rsidP="00033852">
            <w:pPr>
              <w:spacing w:before="120" w:after="120" w:line="276" w:lineRule="auto"/>
              <w:ind w:left="136" w:firstLine="6"/>
              <w:rPr>
                <w:sz w:val="32"/>
                <w:szCs w:val="32"/>
              </w:rPr>
            </w:pPr>
            <w:r w:rsidRPr="00220B48">
              <w:rPr>
                <w:sz w:val="32"/>
                <w:szCs w:val="32"/>
              </w:rPr>
              <w:t>Total number of D/deaf or disabled People on Boards of Management</w:t>
            </w:r>
          </w:p>
        </w:tc>
        <w:tc>
          <w:tcPr>
            <w:tcW w:w="1725" w:type="dxa"/>
            <w:shd w:val="clear" w:color="auto" w:fill="auto"/>
            <w:tcMar>
              <w:top w:w="10" w:type="dxa"/>
              <w:left w:w="10" w:type="dxa"/>
              <w:bottom w:w="0" w:type="dxa"/>
              <w:right w:w="10" w:type="dxa"/>
            </w:tcMar>
            <w:vAlign w:val="center"/>
          </w:tcPr>
          <w:p w14:paraId="154AC167" w14:textId="77777777" w:rsidR="00BE57EF" w:rsidRPr="00220B48" w:rsidRDefault="00BE57EF" w:rsidP="00033852">
            <w:pPr>
              <w:spacing w:before="120" w:after="120" w:line="276" w:lineRule="auto"/>
              <w:ind w:right="190"/>
              <w:jc w:val="right"/>
              <w:rPr>
                <w:sz w:val="32"/>
                <w:szCs w:val="32"/>
              </w:rPr>
            </w:pPr>
            <w:r w:rsidRPr="00220B48">
              <w:rPr>
                <w:sz w:val="32"/>
                <w:szCs w:val="32"/>
              </w:rPr>
              <w:t>37</w:t>
            </w:r>
          </w:p>
        </w:tc>
        <w:tc>
          <w:tcPr>
            <w:tcW w:w="1701" w:type="dxa"/>
            <w:tcBorders>
              <w:right w:val="nil"/>
            </w:tcBorders>
            <w:shd w:val="clear" w:color="auto" w:fill="auto"/>
            <w:tcMar>
              <w:top w:w="10" w:type="dxa"/>
              <w:left w:w="10" w:type="dxa"/>
              <w:bottom w:w="0" w:type="dxa"/>
              <w:right w:w="10" w:type="dxa"/>
            </w:tcMar>
            <w:vAlign w:val="center"/>
          </w:tcPr>
          <w:p w14:paraId="6FEA576B" w14:textId="77777777" w:rsidR="00BE57EF" w:rsidRPr="00220B48" w:rsidRDefault="00BE57EF" w:rsidP="00033852">
            <w:pPr>
              <w:spacing w:before="120" w:after="120" w:line="276" w:lineRule="auto"/>
              <w:ind w:right="190"/>
              <w:jc w:val="right"/>
              <w:rPr>
                <w:sz w:val="32"/>
                <w:szCs w:val="32"/>
              </w:rPr>
            </w:pPr>
            <w:r w:rsidRPr="00220B48">
              <w:rPr>
                <w:sz w:val="32"/>
                <w:szCs w:val="32"/>
              </w:rPr>
              <w:t>38</w:t>
            </w:r>
          </w:p>
        </w:tc>
        <w:tc>
          <w:tcPr>
            <w:tcW w:w="26" w:type="dxa"/>
            <w:tcBorders>
              <w:left w:val="nil"/>
            </w:tcBorders>
            <w:shd w:val="clear" w:color="auto" w:fill="auto"/>
            <w:vAlign w:val="center"/>
          </w:tcPr>
          <w:p w14:paraId="0C289D42"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0D25AA59" w14:textId="77777777" w:rsidR="00BE57EF" w:rsidRPr="00220B48" w:rsidRDefault="00BE57EF" w:rsidP="00033852">
            <w:pPr>
              <w:spacing w:before="120" w:after="120" w:line="276" w:lineRule="auto"/>
              <w:ind w:right="190"/>
              <w:jc w:val="right"/>
              <w:rPr>
                <w:sz w:val="32"/>
                <w:szCs w:val="32"/>
              </w:rPr>
            </w:pPr>
            <w:r w:rsidRPr="00220B48">
              <w:rPr>
                <w:sz w:val="32"/>
                <w:szCs w:val="32"/>
              </w:rPr>
              <w:t>2.7</w:t>
            </w:r>
          </w:p>
        </w:tc>
        <w:tc>
          <w:tcPr>
            <w:tcW w:w="2548" w:type="dxa"/>
            <w:shd w:val="clear" w:color="auto" w:fill="auto"/>
            <w:tcMar>
              <w:top w:w="10" w:type="dxa"/>
              <w:left w:w="10" w:type="dxa"/>
              <w:bottom w:w="0" w:type="dxa"/>
              <w:right w:w="10" w:type="dxa"/>
            </w:tcMar>
            <w:vAlign w:val="center"/>
          </w:tcPr>
          <w:p w14:paraId="7904C2BD" w14:textId="77777777" w:rsidR="00BE57EF" w:rsidRPr="00220B48" w:rsidRDefault="00BE57EF" w:rsidP="00033852">
            <w:pPr>
              <w:spacing w:before="120" w:after="120" w:line="276" w:lineRule="auto"/>
              <w:ind w:right="190"/>
              <w:jc w:val="right"/>
              <w:rPr>
                <w:sz w:val="32"/>
                <w:szCs w:val="32"/>
              </w:rPr>
            </w:pPr>
            <w:r w:rsidRPr="00220B48">
              <w:rPr>
                <w:sz w:val="32"/>
                <w:szCs w:val="32"/>
              </w:rPr>
              <w:t>8.1</w:t>
            </w:r>
          </w:p>
        </w:tc>
        <w:tc>
          <w:tcPr>
            <w:tcW w:w="2367" w:type="dxa"/>
            <w:shd w:val="clear" w:color="auto" w:fill="auto"/>
            <w:tcMar>
              <w:top w:w="10" w:type="dxa"/>
              <w:left w:w="10" w:type="dxa"/>
              <w:bottom w:w="0" w:type="dxa"/>
              <w:right w:w="10" w:type="dxa"/>
            </w:tcMar>
            <w:vAlign w:val="center"/>
          </w:tcPr>
          <w:p w14:paraId="46AFC585" w14:textId="77777777" w:rsidR="00BE57EF" w:rsidRPr="00220B48" w:rsidRDefault="00BE57EF" w:rsidP="00033852">
            <w:pPr>
              <w:spacing w:before="120" w:after="120" w:line="276" w:lineRule="auto"/>
              <w:ind w:right="190"/>
              <w:jc w:val="right"/>
              <w:rPr>
                <w:sz w:val="32"/>
                <w:szCs w:val="32"/>
              </w:rPr>
            </w:pPr>
            <w:r w:rsidRPr="00220B48">
              <w:rPr>
                <w:sz w:val="32"/>
                <w:szCs w:val="32"/>
              </w:rPr>
              <w:t>6.7</w:t>
            </w:r>
          </w:p>
        </w:tc>
      </w:tr>
      <w:tr w:rsidR="00427464" w:rsidRPr="00220B48" w14:paraId="2751E289" w14:textId="77777777" w:rsidTr="00DF04B6">
        <w:trPr>
          <w:trHeight w:val="449"/>
        </w:trPr>
        <w:tc>
          <w:tcPr>
            <w:tcW w:w="4962" w:type="dxa"/>
            <w:shd w:val="clear" w:color="auto" w:fill="auto"/>
            <w:tcMar>
              <w:top w:w="10" w:type="dxa"/>
              <w:left w:w="10" w:type="dxa"/>
              <w:bottom w:w="0" w:type="dxa"/>
              <w:right w:w="10" w:type="dxa"/>
            </w:tcMar>
            <w:vAlign w:val="center"/>
          </w:tcPr>
          <w:p w14:paraId="130CE5FB" w14:textId="77777777" w:rsidR="00BE57EF" w:rsidRPr="00220B48" w:rsidRDefault="00BE57EF" w:rsidP="00033852">
            <w:pPr>
              <w:spacing w:before="120" w:after="120" w:line="276" w:lineRule="auto"/>
              <w:ind w:left="136" w:firstLine="6"/>
              <w:rPr>
                <w:sz w:val="32"/>
                <w:szCs w:val="32"/>
              </w:rPr>
            </w:pPr>
            <w:r w:rsidRPr="00220B48">
              <w:rPr>
                <w:sz w:val="32"/>
                <w:szCs w:val="32"/>
              </w:rPr>
              <w:t>Total number of Culturally and Ethnically Diverse People on Boards of Management</w:t>
            </w:r>
          </w:p>
        </w:tc>
        <w:tc>
          <w:tcPr>
            <w:tcW w:w="1725" w:type="dxa"/>
            <w:shd w:val="clear" w:color="auto" w:fill="auto"/>
            <w:tcMar>
              <w:top w:w="10" w:type="dxa"/>
              <w:left w:w="10" w:type="dxa"/>
              <w:bottom w:w="0" w:type="dxa"/>
              <w:right w:w="10" w:type="dxa"/>
            </w:tcMar>
            <w:vAlign w:val="center"/>
          </w:tcPr>
          <w:p w14:paraId="70DF99EF" w14:textId="77777777" w:rsidR="00BE57EF" w:rsidRPr="00220B48" w:rsidRDefault="00BE57EF" w:rsidP="00033852">
            <w:pPr>
              <w:spacing w:before="120" w:after="120" w:line="276" w:lineRule="auto"/>
              <w:ind w:right="190"/>
              <w:jc w:val="right"/>
              <w:rPr>
                <w:sz w:val="32"/>
                <w:szCs w:val="32"/>
              </w:rPr>
            </w:pPr>
            <w:r w:rsidRPr="00220B48">
              <w:rPr>
                <w:sz w:val="32"/>
                <w:szCs w:val="32"/>
              </w:rPr>
              <w:t>65</w:t>
            </w:r>
          </w:p>
        </w:tc>
        <w:tc>
          <w:tcPr>
            <w:tcW w:w="1701" w:type="dxa"/>
            <w:tcBorders>
              <w:right w:val="nil"/>
            </w:tcBorders>
            <w:shd w:val="clear" w:color="auto" w:fill="auto"/>
            <w:tcMar>
              <w:top w:w="10" w:type="dxa"/>
              <w:left w:w="10" w:type="dxa"/>
              <w:bottom w:w="0" w:type="dxa"/>
              <w:right w:w="10" w:type="dxa"/>
            </w:tcMar>
            <w:vAlign w:val="center"/>
          </w:tcPr>
          <w:p w14:paraId="4D21582A" w14:textId="77777777" w:rsidR="00BE57EF" w:rsidRPr="00220B48" w:rsidRDefault="00BE57EF" w:rsidP="00033852">
            <w:pPr>
              <w:spacing w:before="120" w:after="120" w:line="276" w:lineRule="auto"/>
              <w:ind w:right="190"/>
              <w:jc w:val="right"/>
              <w:rPr>
                <w:sz w:val="32"/>
                <w:szCs w:val="32"/>
              </w:rPr>
            </w:pPr>
            <w:r w:rsidRPr="00220B48">
              <w:rPr>
                <w:sz w:val="32"/>
                <w:szCs w:val="32"/>
              </w:rPr>
              <w:t>77</w:t>
            </w:r>
          </w:p>
        </w:tc>
        <w:tc>
          <w:tcPr>
            <w:tcW w:w="26" w:type="dxa"/>
            <w:tcBorders>
              <w:left w:val="nil"/>
            </w:tcBorders>
            <w:shd w:val="clear" w:color="auto" w:fill="auto"/>
            <w:vAlign w:val="center"/>
          </w:tcPr>
          <w:p w14:paraId="1340244B"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1EBD0D57" w14:textId="77777777" w:rsidR="00BE57EF" w:rsidRPr="00220B48" w:rsidRDefault="00BE57EF" w:rsidP="00033852">
            <w:pPr>
              <w:spacing w:before="120" w:after="120" w:line="276" w:lineRule="auto"/>
              <w:ind w:right="190"/>
              <w:jc w:val="right"/>
              <w:rPr>
                <w:sz w:val="32"/>
                <w:szCs w:val="32"/>
              </w:rPr>
            </w:pPr>
            <w:r w:rsidRPr="00220B48">
              <w:rPr>
                <w:sz w:val="32"/>
                <w:szCs w:val="32"/>
              </w:rPr>
              <w:t>18.5</w:t>
            </w:r>
          </w:p>
        </w:tc>
        <w:tc>
          <w:tcPr>
            <w:tcW w:w="2548" w:type="dxa"/>
            <w:shd w:val="clear" w:color="auto" w:fill="auto"/>
            <w:tcMar>
              <w:top w:w="10" w:type="dxa"/>
              <w:left w:w="10" w:type="dxa"/>
              <w:bottom w:w="0" w:type="dxa"/>
              <w:right w:w="10" w:type="dxa"/>
            </w:tcMar>
            <w:vAlign w:val="center"/>
          </w:tcPr>
          <w:p w14:paraId="55B59001" w14:textId="77777777" w:rsidR="00BE57EF" w:rsidRPr="00220B48" w:rsidRDefault="00BE57EF" w:rsidP="00033852">
            <w:pPr>
              <w:spacing w:before="120" w:after="120" w:line="276" w:lineRule="auto"/>
              <w:ind w:right="190"/>
              <w:jc w:val="right"/>
              <w:rPr>
                <w:sz w:val="32"/>
                <w:szCs w:val="32"/>
              </w:rPr>
            </w:pPr>
            <w:r w:rsidRPr="00220B48">
              <w:rPr>
                <w:sz w:val="32"/>
                <w:szCs w:val="32"/>
              </w:rPr>
              <w:t>14.3</w:t>
            </w:r>
          </w:p>
        </w:tc>
        <w:tc>
          <w:tcPr>
            <w:tcW w:w="2367" w:type="dxa"/>
            <w:shd w:val="clear" w:color="auto" w:fill="auto"/>
            <w:tcMar>
              <w:top w:w="10" w:type="dxa"/>
              <w:left w:w="10" w:type="dxa"/>
              <w:bottom w:w="0" w:type="dxa"/>
              <w:right w:w="10" w:type="dxa"/>
            </w:tcMar>
            <w:vAlign w:val="center"/>
          </w:tcPr>
          <w:p w14:paraId="3162688E" w14:textId="77777777" w:rsidR="00BE57EF" w:rsidRPr="00220B48" w:rsidRDefault="00BE57EF" w:rsidP="00033852">
            <w:pPr>
              <w:spacing w:before="120" w:after="120" w:line="276" w:lineRule="auto"/>
              <w:ind w:right="190"/>
              <w:jc w:val="right"/>
              <w:rPr>
                <w:sz w:val="32"/>
                <w:szCs w:val="32"/>
              </w:rPr>
            </w:pPr>
            <w:r w:rsidRPr="00220B48">
              <w:rPr>
                <w:sz w:val="32"/>
                <w:szCs w:val="32"/>
              </w:rPr>
              <w:t>13.6</w:t>
            </w:r>
          </w:p>
        </w:tc>
      </w:tr>
      <w:tr w:rsidR="00F246CB" w:rsidRPr="00220B48" w14:paraId="5E04F493" w14:textId="77777777" w:rsidTr="00DF04B6">
        <w:trPr>
          <w:trHeight w:val="270"/>
        </w:trPr>
        <w:tc>
          <w:tcPr>
            <w:tcW w:w="4962" w:type="dxa"/>
            <w:shd w:val="clear" w:color="auto" w:fill="auto"/>
            <w:tcMar>
              <w:top w:w="10" w:type="dxa"/>
              <w:left w:w="10" w:type="dxa"/>
              <w:bottom w:w="0" w:type="dxa"/>
              <w:right w:w="10" w:type="dxa"/>
            </w:tcMar>
            <w:vAlign w:val="center"/>
          </w:tcPr>
          <w:p w14:paraId="0B6C582C" w14:textId="77777777" w:rsidR="00BE57EF" w:rsidRPr="00220B48" w:rsidRDefault="00BE57EF" w:rsidP="00033852">
            <w:pPr>
              <w:spacing w:before="120" w:after="120" w:line="276" w:lineRule="auto"/>
              <w:ind w:left="136" w:firstLine="6"/>
              <w:rPr>
                <w:sz w:val="32"/>
                <w:szCs w:val="32"/>
              </w:rPr>
            </w:pPr>
            <w:r w:rsidRPr="00220B48">
              <w:rPr>
                <w:sz w:val="32"/>
                <w:szCs w:val="32"/>
              </w:rPr>
              <w:t>Total Lesbian, Gay or Bisexual People on Boards of Management</w:t>
            </w:r>
          </w:p>
        </w:tc>
        <w:tc>
          <w:tcPr>
            <w:tcW w:w="1725" w:type="dxa"/>
            <w:shd w:val="clear" w:color="auto" w:fill="auto"/>
            <w:tcMar>
              <w:top w:w="10" w:type="dxa"/>
              <w:left w:w="10" w:type="dxa"/>
              <w:bottom w:w="0" w:type="dxa"/>
              <w:right w:w="10" w:type="dxa"/>
            </w:tcMar>
            <w:vAlign w:val="center"/>
          </w:tcPr>
          <w:p w14:paraId="567F3E84" w14:textId="77777777" w:rsidR="00BE57EF" w:rsidRPr="00220B48" w:rsidRDefault="00BE57EF" w:rsidP="00033852">
            <w:pPr>
              <w:spacing w:before="120" w:after="120" w:line="276" w:lineRule="auto"/>
              <w:ind w:right="190"/>
              <w:jc w:val="right"/>
              <w:rPr>
                <w:sz w:val="32"/>
                <w:szCs w:val="32"/>
              </w:rPr>
            </w:pPr>
            <w:r w:rsidRPr="00220B48">
              <w:rPr>
                <w:sz w:val="32"/>
                <w:szCs w:val="32"/>
              </w:rPr>
              <w:t>69</w:t>
            </w:r>
          </w:p>
        </w:tc>
        <w:tc>
          <w:tcPr>
            <w:tcW w:w="1701" w:type="dxa"/>
            <w:tcBorders>
              <w:right w:val="nil"/>
            </w:tcBorders>
            <w:shd w:val="clear" w:color="auto" w:fill="auto"/>
            <w:tcMar>
              <w:top w:w="10" w:type="dxa"/>
              <w:left w:w="10" w:type="dxa"/>
              <w:bottom w:w="0" w:type="dxa"/>
              <w:right w:w="10" w:type="dxa"/>
            </w:tcMar>
            <w:vAlign w:val="center"/>
          </w:tcPr>
          <w:p w14:paraId="6A8E2012" w14:textId="77777777" w:rsidR="00BE57EF" w:rsidRPr="00220B48" w:rsidRDefault="00BE57EF" w:rsidP="00033852">
            <w:pPr>
              <w:spacing w:before="120" w:after="120" w:line="276" w:lineRule="auto"/>
              <w:ind w:right="190"/>
              <w:jc w:val="right"/>
              <w:rPr>
                <w:sz w:val="32"/>
                <w:szCs w:val="32"/>
              </w:rPr>
            </w:pPr>
            <w:r w:rsidRPr="00220B48">
              <w:rPr>
                <w:sz w:val="32"/>
                <w:szCs w:val="32"/>
              </w:rPr>
              <w:t>65</w:t>
            </w:r>
          </w:p>
        </w:tc>
        <w:tc>
          <w:tcPr>
            <w:tcW w:w="26" w:type="dxa"/>
            <w:tcBorders>
              <w:left w:val="nil"/>
            </w:tcBorders>
            <w:shd w:val="clear" w:color="auto" w:fill="auto"/>
            <w:vAlign w:val="center"/>
          </w:tcPr>
          <w:p w14:paraId="697155BC"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3BF30F86" w14:textId="77777777" w:rsidR="00BE57EF" w:rsidRPr="00220B48" w:rsidRDefault="00BE57EF" w:rsidP="00F246CB">
            <w:pPr>
              <w:spacing w:before="120" w:after="120" w:line="276" w:lineRule="auto"/>
              <w:ind w:left="95" w:right="190" w:hanging="95"/>
              <w:jc w:val="right"/>
              <w:rPr>
                <w:sz w:val="32"/>
                <w:szCs w:val="32"/>
              </w:rPr>
            </w:pPr>
            <w:r w:rsidRPr="00220B48">
              <w:rPr>
                <w:sz w:val="32"/>
                <w:szCs w:val="32"/>
              </w:rPr>
              <w:t>-5.8</w:t>
            </w:r>
          </w:p>
        </w:tc>
        <w:tc>
          <w:tcPr>
            <w:tcW w:w="2548" w:type="dxa"/>
            <w:shd w:val="clear" w:color="auto" w:fill="auto"/>
            <w:tcMar>
              <w:top w:w="10" w:type="dxa"/>
              <w:left w:w="10" w:type="dxa"/>
              <w:bottom w:w="0" w:type="dxa"/>
              <w:right w:w="10" w:type="dxa"/>
            </w:tcMar>
            <w:vAlign w:val="center"/>
          </w:tcPr>
          <w:p w14:paraId="76A755AD" w14:textId="77777777" w:rsidR="00BE57EF" w:rsidRPr="00220B48" w:rsidRDefault="00BE57EF" w:rsidP="00033852">
            <w:pPr>
              <w:spacing w:before="120" w:after="120" w:line="276" w:lineRule="auto"/>
              <w:ind w:right="190"/>
              <w:jc w:val="right"/>
              <w:rPr>
                <w:sz w:val="32"/>
                <w:szCs w:val="32"/>
              </w:rPr>
            </w:pPr>
            <w:r w:rsidRPr="00220B48">
              <w:rPr>
                <w:sz w:val="32"/>
                <w:szCs w:val="32"/>
              </w:rPr>
              <w:t>15.1</w:t>
            </w:r>
          </w:p>
        </w:tc>
        <w:tc>
          <w:tcPr>
            <w:tcW w:w="2367" w:type="dxa"/>
            <w:shd w:val="clear" w:color="auto" w:fill="auto"/>
            <w:tcMar>
              <w:top w:w="10" w:type="dxa"/>
              <w:left w:w="10" w:type="dxa"/>
              <w:bottom w:w="0" w:type="dxa"/>
              <w:right w:w="10" w:type="dxa"/>
            </w:tcMar>
            <w:vAlign w:val="center"/>
          </w:tcPr>
          <w:p w14:paraId="0C8ED16D" w14:textId="77777777" w:rsidR="00BE57EF" w:rsidRPr="00220B48" w:rsidRDefault="00BE57EF" w:rsidP="00033852">
            <w:pPr>
              <w:spacing w:before="120" w:after="120" w:line="276" w:lineRule="auto"/>
              <w:ind w:right="190"/>
              <w:jc w:val="right"/>
              <w:rPr>
                <w:sz w:val="32"/>
                <w:szCs w:val="32"/>
              </w:rPr>
            </w:pPr>
            <w:r w:rsidRPr="00220B48">
              <w:rPr>
                <w:sz w:val="32"/>
                <w:szCs w:val="32"/>
              </w:rPr>
              <w:t>11.5</w:t>
            </w:r>
          </w:p>
        </w:tc>
      </w:tr>
      <w:tr w:rsidR="00427464" w:rsidRPr="00220B48" w14:paraId="1C9EB239" w14:textId="77777777" w:rsidTr="00DF04B6">
        <w:trPr>
          <w:trHeight w:val="270"/>
        </w:trPr>
        <w:tc>
          <w:tcPr>
            <w:tcW w:w="4962" w:type="dxa"/>
            <w:shd w:val="clear" w:color="auto" w:fill="auto"/>
            <w:tcMar>
              <w:top w:w="10" w:type="dxa"/>
              <w:left w:w="10" w:type="dxa"/>
              <w:bottom w:w="0" w:type="dxa"/>
              <w:right w:w="10" w:type="dxa"/>
            </w:tcMar>
            <w:vAlign w:val="center"/>
          </w:tcPr>
          <w:p w14:paraId="7F278B28" w14:textId="77777777" w:rsidR="00BE57EF" w:rsidRPr="00220B48" w:rsidRDefault="00BE57EF" w:rsidP="00033852">
            <w:pPr>
              <w:spacing w:before="120" w:after="120" w:line="276" w:lineRule="auto"/>
              <w:ind w:left="136" w:firstLine="6"/>
              <w:rPr>
                <w:sz w:val="32"/>
                <w:szCs w:val="32"/>
              </w:rPr>
            </w:pPr>
            <w:r w:rsidRPr="00220B48">
              <w:rPr>
                <w:sz w:val="32"/>
                <w:szCs w:val="32"/>
              </w:rPr>
              <w:t>Total Older People on Boards of Management</w:t>
            </w:r>
          </w:p>
        </w:tc>
        <w:tc>
          <w:tcPr>
            <w:tcW w:w="1725" w:type="dxa"/>
            <w:shd w:val="clear" w:color="auto" w:fill="auto"/>
            <w:tcMar>
              <w:top w:w="10" w:type="dxa"/>
              <w:left w:w="10" w:type="dxa"/>
              <w:bottom w:w="0" w:type="dxa"/>
              <w:right w:w="10" w:type="dxa"/>
            </w:tcMar>
            <w:vAlign w:val="center"/>
          </w:tcPr>
          <w:p w14:paraId="2B1282FB" w14:textId="77777777" w:rsidR="00BE57EF" w:rsidRPr="00220B48" w:rsidRDefault="00BE57EF" w:rsidP="00033852">
            <w:pPr>
              <w:spacing w:before="120" w:after="120" w:line="276" w:lineRule="auto"/>
              <w:ind w:right="190"/>
              <w:jc w:val="right"/>
              <w:rPr>
                <w:sz w:val="32"/>
                <w:szCs w:val="32"/>
              </w:rPr>
            </w:pPr>
            <w:r w:rsidRPr="00220B48">
              <w:rPr>
                <w:sz w:val="32"/>
                <w:szCs w:val="32"/>
              </w:rPr>
              <w:t>244</w:t>
            </w:r>
          </w:p>
        </w:tc>
        <w:tc>
          <w:tcPr>
            <w:tcW w:w="1701" w:type="dxa"/>
            <w:tcBorders>
              <w:right w:val="nil"/>
            </w:tcBorders>
            <w:shd w:val="clear" w:color="auto" w:fill="auto"/>
            <w:tcMar>
              <w:top w:w="10" w:type="dxa"/>
              <w:left w:w="10" w:type="dxa"/>
              <w:bottom w:w="0" w:type="dxa"/>
              <w:right w:w="10" w:type="dxa"/>
            </w:tcMar>
            <w:vAlign w:val="center"/>
          </w:tcPr>
          <w:p w14:paraId="00379DFF" w14:textId="77777777" w:rsidR="00BE57EF" w:rsidRPr="00220B48" w:rsidRDefault="00BE57EF" w:rsidP="00033852">
            <w:pPr>
              <w:spacing w:before="120" w:after="120" w:line="276" w:lineRule="auto"/>
              <w:ind w:right="190"/>
              <w:jc w:val="right"/>
              <w:rPr>
                <w:sz w:val="32"/>
                <w:szCs w:val="32"/>
              </w:rPr>
            </w:pPr>
            <w:r w:rsidRPr="00220B48">
              <w:rPr>
                <w:sz w:val="32"/>
                <w:szCs w:val="32"/>
              </w:rPr>
              <w:t>241</w:t>
            </w:r>
          </w:p>
        </w:tc>
        <w:tc>
          <w:tcPr>
            <w:tcW w:w="26" w:type="dxa"/>
            <w:tcBorders>
              <w:left w:val="nil"/>
            </w:tcBorders>
            <w:shd w:val="clear" w:color="auto" w:fill="auto"/>
            <w:vAlign w:val="center"/>
          </w:tcPr>
          <w:p w14:paraId="70B4E5B3"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66DCE85B" w14:textId="77777777" w:rsidR="00BE57EF" w:rsidRPr="00220B48" w:rsidRDefault="00BE57EF" w:rsidP="00033852">
            <w:pPr>
              <w:spacing w:before="120" w:after="120" w:line="276" w:lineRule="auto"/>
              <w:ind w:right="190"/>
              <w:jc w:val="right"/>
              <w:rPr>
                <w:sz w:val="32"/>
                <w:szCs w:val="32"/>
              </w:rPr>
            </w:pPr>
            <w:r w:rsidRPr="00220B48">
              <w:rPr>
                <w:sz w:val="32"/>
                <w:szCs w:val="32"/>
              </w:rPr>
              <w:t>-1.2</w:t>
            </w:r>
          </w:p>
        </w:tc>
        <w:tc>
          <w:tcPr>
            <w:tcW w:w="2548" w:type="dxa"/>
            <w:shd w:val="clear" w:color="auto" w:fill="auto"/>
            <w:tcMar>
              <w:top w:w="10" w:type="dxa"/>
              <w:left w:w="10" w:type="dxa"/>
              <w:bottom w:w="0" w:type="dxa"/>
              <w:right w:w="10" w:type="dxa"/>
            </w:tcMar>
            <w:vAlign w:val="center"/>
          </w:tcPr>
          <w:p w14:paraId="43CADBAD" w14:textId="77777777" w:rsidR="00BE57EF" w:rsidRPr="00220B48" w:rsidRDefault="00BE57EF" w:rsidP="00033852">
            <w:pPr>
              <w:spacing w:before="120" w:after="120" w:line="276" w:lineRule="auto"/>
              <w:ind w:right="190"/>
              <w:jc w:val="right"/>
              <w:rPr>
                <w:sz w:val="32"/>
                <w:szCs w:val="32"/>
              </w:rPr>
            </w:pPr>
            <w:r w:rsidRPr="00220B48">
              <w:rPr>
                <w:sz w:val="32"/>
                <w:szCs w:val="32"/>
              </w:rPr>
              <w:t>53.5</w:t>
            </w:r>
          </w:p>
        </w:tc>
        <w:tc>
          <w:tcPr>
            <w:tcW w:w="2367" w:type="dxa"/>
            <w:shd w:val="clear" w:color="auto" w:fill="auto"/>
            <w:tcMar>
              <w:top w:w="10" w:type="dxa"/>
              <w:left w:w="10" w:type="dxa"/>
              <w:bottom w:w="0" w:type="dxa"/>
              <w:right w:w="10" w:type="dxa"/>
            </w:tcMar>
            <w:vAlign w:val="center"/>
          </w:tcPr>
          <w:p w14:paraId="585A55E9" w14:textId="77777777" w:rsidR="00BE57EF" w:rsidRPr="00220B48" w:rsidRDefault="00BE57EF" w:rsidP="00033852">
            <w:pPr>
              <w:spacing w:before="120" w:after="120" w:line="276" w:lineRule="auto"/>
              <w:ind w:right="190"/>
              <w:jc w:val="right"/>
              <w:rPr>
                <w:sz w:val="32"/>
                <w:szCs w:val="32"/>
              </w:rPr>
            </w:pPr>
            <w:r w:rsidRPr="00220B48">
              <w:rPr>
                <w:sz w:val="32"/>
                <w:szCs w:val="32"/>
              </w:rPr>
              <w:t>42.5</w:t>
            </w:r>
          </w:p>
        </w:tc>
      </w:tr>
      <w:tr w:rsidR="00F246CB" w:rsidRPr="00220B48" w14:paraId="033E110B" w14:textId="77777777" w:rsidTr="00DF04B6">
        <w:trPr>
          <w:trHeight w:val="449"/>
        </w:trPr>
        <w:tc>
          <w:tcPr>
            <w:tcW w:w="4962" w:type="dxa"/>
            <w:shd w:val="clear" w:color="auto" w:fill="auto"/>
            <w:tcMar>
              <w:top w:w="10" w:type="dxa"/>
              <w:left w:w="10" w:type="dxa"/>
              <w:bottom w:w="0" w:type="dxa"/>
              <w:right w:w="10" w:type="dxa"/>
            </w:tcMar>
            <w:vAlign w:val="center"/>
          </w:tcPr>
          <w:p w14:paraId="0F2801BD" w14:textId="77777777" w:rsidR="00BE57EF" w:rsidRPr="00220B48" w:rsidRDefault="00BE57EF" w:rsidP="00033852">
            <w:pPr>
              <w:spacing w:before="120" w:after="120" w:line="276" w:lineRule="auto"/>
              <w:ind w:left="136" w:firstLine="6"/>
              <w:rPr>
                <w:sz w:val="32"/>
                <w:szCs w:val="32"/>
              </w:rPr>
            </w:pPr>
            <w:r w:rsidRPr="00220B48">
              <w:rPr>
                <w:sz w:val="32"/>
                <w:szCs w:val="32"/>
              </w:rPr>
              <w:lastRenderedPageBreak/>
              <w:t>Total number of People on Boards of Management with specific religious beliefs</w:t>
            </w:r>
          </w:p>
        </w:tc>
        <w:tc>
          <w:tcPr>
            <w:tcW w:w="1725" w:type="dxa"/>
            <w:shd w:val="clear" w:color="auto" w:fill="auto"/>
            <w:tcMar>
              <w:top w:w="10" w:type="dxa"/>
              <w:left w:w="10" w:type="dxa"/>
              <w:bottom w:w="0" w:type="dxa"/>
              <w:right w:w="10" w:type="dxa"/>
            </w:tcMar>
            <w:vAlign w:val="center"/>
          </w:tcPr>
          <w:p w14:paraId="0CD758A6" w14:textId="77777777" w:rsidR="00BE57EF" w:rsidRPr="00220B48" w:rsidRDefault="00BE57EF" w:rsidP="00033852">
            <w:pPr>
              <w:spacing w:before="120" w:after="120" w:line="276" w:lineRule="auto"/>
              <w:ind w:right="190"/>
              <w:jc w:val="right"/>
              <w:rPr>
                <w:sz w:val="32"/>
                <w:szCs w:val="32"/>
              </w:rPr>
            </w:pPr>
            <w:r w:rsidRPr="00220B48">
              <w:rPr>
                <w:sz w:val="32"/>
                <w:szCs w:val="32"/>
              </w:rPr>
              <w:t>90</w:t>
            </w:r>
          </w:p>
        </w:tc>
        <w:tc>
          <w:tcPr>
            <w:tcW w:w="1701" w:type="dxa"/>
            <w:tcBorders>
              <w:right w:val="nil"/>
            </w:tcBorders>
            <w:shd w:val="clear" w:color="auto" w:fill="auto"/>
            <w:tcMar>
              <w:top w:w="10" w:type="dxa"/>
              <w:left w:w="10" w:type="dxa"/>
              <w:bottom w:w="0" w:type="dxa"/>
              <w:right w:w="10" w:type="dxa"/>
            </w:tcMar>
            <w:vAlign w:val="center"/>
          </w:tcPr>
          <w:p w14:paraId="3C70997E" w14:textId="77777777" w:rsidR="00BE57EF" w:rsidRPr="00220B48" w:rsidRDefault="00BE57EF" w:rsidP="00033852">
            <w:pPr>
              <w:spacing w:before="120" w:after="120" w:line="276" w:lineRule="auto"/>
              <w:ind w:right="190"/>
              <w:jc w:val="right"/>
              <w:rPr>
                <w:sz w:val="32"/>
                <w:szCs w:val="32"/>
              </w:rPr>
            </w:pPr>
            <w:r w:rsidRPr="00220B48">
              <w:rPr>
                <w:sz w:val="32"/>
                <w:szCs w:val="32"/>
              </w:rPr>
              <w:t>102</w:t>
            </w:r>
          </w:p>
        </w:tc>
        <w:tc>
          <w:tcPr>
            <w:tcW w:w="26" w:type="dxa"/>
            <w:tcBorders>
              <w:left w:val="nil"/>
            </w:tcBorders>
            <w:shd w:val="clear" w:color="auto" w:fill="auto"/>
            <w:vAlign w:val="center"/>
          </w:tcPr>
          <w:p w14:paraId="46BD51A9"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67F2A6E5" w14:textId="77777777" w:rsidR="00BE57EF" w:rsidRPr="00220B48" w:rsidRDefault="00BE57EF" w:rsidP="00033852">
            <w:pPr>
              <w:spacing w:before="120" w:after="120" w:line="276" w:lineRule="auto"/>
              <w:ind w:right="190"/>
              <w:jc w:val="right"/>
              <w:rPr>
                <w:sz w:val="32"/>
                <w:szCs w:val="32"/>
              </w:rPr>
            </w:pPr>
            <w:r w:rsidRPr="00220B48">
              <w:rPr>
                <w:sz w:val="32"/>
                <w:szCs w:val="32"/>
              </w:rPr>
              <w:t>13.3</w:t>
            </w:r>
          </w:p>
        </w:tc>
        <w:tc>
          <w:tcPr>
            <w:tcW w:w="2548" w:type="dxa"/>
            <w:shd w:val="clear" w:color="auto" w:fill="auto"/>
            <w:tcMar>
              <w:top w:w="10" w:type="dxa"/>
              <w:left w:w="10" w:type="dxa"/>
              <w:bottom w:w="0" w:type="dxa"/>
              <w:right w:w="10" w:type="dxa"/>
            </w:tcMar>
            <w:vAlign w:val="center"/>
          </w:tcPr>
          <w:p w14:paraId="62F98B9C" w14:textId="77777777" w:rsidR="00BE57EF" w:rsidRPr="00220B48" w:rsidRDefault="00BE57EF" w:rsidP="00033852">
            <w:pPr>
              <w:spacing w:before="120" w:after="120" w:line="276" w:lineRule="auto"/>
              <w:ind w:right="190"/>
              <w:jc w:val="right"/>
              <w:rPr>
                <w:sz w:val="32"/>
                <w:szCs w:val="32"/>
              </w:rPr>
            </w:pPr>
            <w:r w:rsidRPr="00220B48">
              <w:rPr>
                <w:sz w:val="32"/>
                <w:szCs w:val="32"/>
              </w:rPr>
              <w:t>19.7</w:t>
            </w:r>
          </w:p>
        </w:tc>
        <w:tc>
          <w:tcPr>
            <w:tcW w:w="2367" w:type="dxa"/>
            <w:shd w:val="clear" w:color="auto" w:fill="auto"/>
            <w:tcMar>
              <w:top w:w="10" w:type="dxa"/>
              <w:left w:w="10" w:type="dxa"/>
              <w:bottom w:w="0" w:type="dxa"/>
              <w:right w:w="10" w:type="dxa"/>
            </w:tcMar>
            <w:vAlign w:val="center"/>
          </w:tcPr>
          <w:p w14:paraId="1A6DD982" w14:textId="77777777" w:rsidR="00BE57EF" w:rsidRPr="00220B48" w:rsidRDefault="00BE57EF" w:rsidP="00033852">
            <w:pPr>
              <w:spacing w:before="120" w:after="120" w:line="276" w:lineRule="auto"/>
              <w:ind w:right="190"/>
              <w:jc w:val="right"/>
              <w:rPr>
                <w:sz w:val="32"/>
                <w:szCs w:val="32"/>
              </w:rPr>
            </w:pPr>
            <w:r w:rsidRPr="00220B48">
              <w:rPr>
                <w:sz w:val="32"/>
                <w:szCs w:val="32"/>
              </w:rPr>
              <w:t>18.0</w:t>
            </w:r>
          </w:p>
        </w:tc>
      </w:tr>
      <w:tr w:rsidR="00427464" w:rsidRPr="00220B48" w14:paraId="23F8FCEC" w14:textId="77777777" w:rsidTr="00DF04B6">
        <w:trPr>
          <w:trHeight w:val="449"/>
        </w:trPr>
        <w:tc>
          <w:tcPr>
            <w:tcW w:w="4962" w:type="dxa"/>
            <w:shd w:val="clear" w:color="auto" w:fill="auto"/>
            <w:tcMar>
              <w:top w:w="10" w:type="dxa"/>
              <w:left w:w="10" w:type="dxa"/>
              <w:bottom w:w="0" w:type="dxa"/>
              <w:right w:w="10" w:type="dxa"/>
            </w:tcMar>
            <w:vAlign w:val="center"/>
          </w:tcPr>
          <w:p w14:paraId="7F208B0A" w14:textId="77777777" w:rsidR="00BE57EF" w:rsidRPr="00220B48" w:rsidRDefault="00BE57EF" w:rsidP="00033852">
            <w:pPr>
              <w:spacing w:before="120" w:after="120" w:line="276" w:lineRule="auto"/>
              <w:ind w:left="136" w:firstLine="6"/>
              <w:rPr>
                <w:sz w:val="32"/>
                <w:szCs w:val="32"/>
              </w:rPr>
            </w:pPr>
            <w:r w:rsidRPr="00220B48">
              <w:rPr>
                <w:sz w:val="32"/>
                <w:szCs w:val="32"/>
              </w:rPr>
              <w:t>Total number on Boards of Management who are pregnant or on maternity leave</w:t>
            </w:r>
          </w:p>
        </w:tc>
        <w:tc>
          <w:tcPr>
            <w:tcW w:w="1725" w:type="dxa"/>
            <w:shd w:val="clear" w:color="auto" w:fill="auto"/>
            <w:tcMar>
              <w:top w:w="10" w:type="dxa"/>
              <w:left w:w="10" w:type="dxa"/>
              <w:bottom w:w="0" w:type="dxa"/>
              <w:right w:w="10" w:type="dxa"/>
            </w:tcMar>
            <w:vAlign w:val="center"/>
          </w:tcPr>
          <w:p w14:paraId="1E82F9BF" w14:textId="77777777" w:rsidR="00BE57EF" w:rsidRPr="00220B48" w:rsidRDefault="00BE57EF" w:rsidP="00033852">
            <w:pPr>
              <w:spacing w:before="120" w:after="120" w:line="276" w:lineRule="auto"/>
              <w:ind w:right="190"/>
              <w:jc w:val="right"/>
              <w:rPr>
                <w:sz w:val="32"/>
                <w:szCs w:val="32"/>
              </w:rPr>
            </w:pPr>
            <w:r w:rsidRPr="00220B48">
              <w:rPr>
                <w:sz w:val="32"/>
                <w:szCs w:val="32"/>
              </w:rPr>
              <w:t>9</w:t>
            </w:r>
          </w:p>
        </w:tc>
        <w:tc>
          <w:tcPr>
            <w:tcW w:w="1701" w:type="dxa"/>
            <w:tcBorders>
              <w:right w:val="nil"/>
            </w:tcBorders>
            <w:shd w:val="clear" w:color="auto" w:fill="auto"/>
            <w:tcMar>
              <w:top w:w="10" w:type="dxa"/>
              <w:left w:w="10" w:type="dxa"/>
              <w:bottom w:w="0" w:type="dxa"/>
              <w:right w:w="10" w:type="dxa"/>
            </w:tcMar>
            <w:vAlign w:val="center"/>
          </w:tcPr>
          <w:p w14:paraId="21B3C937" w14:textId="77777777" w:rsidR="00BE57EF" w:rsidRPr="00220B48" w:rsidRDefault="00BE57EF" w:rsidP="00033852">
            <w:pPr>
              <w:spacing w:before="120" w:after="120" w:line="276" w:lineRule="auto"/>
              <w:ind w:right="190"/>
              <w:jc w:val="right"/>
              <w:rPr>
                <w:sz w:val="32"/>
                <w:szCs w:val="32"/>
              </w:rPr>
            </w:pPr>
            <w:r w:rsidRPr="00220B48">
              <w:rPr>
                <w:sz w:val="32"/>
                <w:szCs w:val="32"/>
              </w:rPr>
              <w:t>11</w:t>
            </w:r>
          </w:p>
        </w:tc>
        <w:tc>
          <w:tcPr>
            <w:tcW w:w="26" w:type="dxa"/>
            <w:tcBorders>
              <w:left w:val="nil"/>
            </w:tcBorders>
            <w:shd w:val="clear" w:color="auto" w:fill="auto"/>
            <w:vAlign w:val="center"/>
          </w:tcPr>
          <w:p w14:paraId="093AF8A2"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3661146D" w14:textId="77777777" w:rsidR="00BE57EF" w:rsidRPr="00220B48" w:rsidRDefault="00BE57EF" w:rsidP="00033852">
            <w:pPr>
              <w:spacing w:before="120" w:after="120" w:line="276" w:lineRule="auto"/>
              <w:ind w:right="190"/>
              <w:jc w:val="right"/>
              <w:rPr>
                <w:sz w:val="32"/>
                <w:szCs w:val="32"/>
              </w:rPr>
            </w:pPr>
            <w:r w:rsidRPr="00220B48">
              <w:rPr>
                <w:sz w:val="32"/>
                <w:szCs w:val="32"/>
              </w:rPr>
              <w:t>22.2</w:t>
            </w:r>
          </w:p>
        </w:tc>
        <w:tc>
          <w:tcPr>
            <w:tcW w:w="2548" w:type="dxa"/>
            <w:shd w:val="clear" w:color="auto" w:fill="auto"/>
            <w:tcMar>
              <w:top w:w="10" w:type="dxa"/>
              <w:left w:w="10" w:type="dxa"/>
              <w:bottom w:w="0" w:type="dxa"/>
              <w:right w:w="10" w:type="dxa"/>
            </w:tcMar>
            <w:vAlign w:val="center"/>
          </w:tcPr>
          <w:p w14:paraId="45596E91" w14:textId="77777777" w:rsidR="00BE57EF" w:rsidRPr="00220B48" w:rsidRDefault="00BE57EF" w:rsidP="00033852">
            <w:pPr>
              <w:spacing w:before="120" w:after="120" w:line="276" w:lineRule="auto"/>
              <w:ind w:right="190"/>
              <w:jc w:val="right"/>
              <w:rPr>
                <w:sz w:val="32"/>
                <w:szCs w:val="32"/>
              </w:rPr>
            </w:pPr>
            <w:r w:rsidRPr="00220B48">
              <w:rPr>
                <w:sz w:val="32"/>
                <w:szCs w:val="32"/>
              </w:rPr>
              <w:t>2.0</w:t>
            </w:r>
          </w:p>
        </w:tc>
        <w:tc>
          <w:tcPr>
            <w:tcW w:w="2367" w:type="dxa"/>
            <w:shd w:val="clear" w:color="auto" w:fill="auto"/>
            <w:tcMar>
              <w:top w:w="10" w:type="dxa"/>
              <w:left w:w="10" w:type="dxa"/>
              <w:bottom w:w="0" w:type="dxa"/>
              <w:right w:w="10" w:type="dxa"/>
            </w:tcMar>
            <w:vAlign w:val="center"/>
          </w:tcPr>
          <w:p w14:paraId="12F389C5" w14:textId="77777777" w:rsidR="00BE57EF" w:rsidRPr="00220B48" w:rsidRDefault="00BE57EF" w:rsidP="00033852">
            <w:pPr>
              <w:spacing w:before="120" w:after="120" w:line="276" w:lineRule="auto"/>
              <w:ind w:right="190"/>
              <w:jc w:val="right"/>
              <w:rPr>
                <w:sz w:val="32"/>
                <w:szCs w:val="32"/>
              </w:rPr>
            </w:pPr>
            <w:r w:rsidRPr="00220B48">
              <w:rPr>
                <w:sz w:val="32"/>
                <w:szCs w:val="32"/>
              </w:rPr>
              <w:t>1.9</w:t>
            </w:r>
          </w:p>
        </w:tc>
      </w:tr>
      <w:tr w:rsidR="00F246CB" w:rsidRPr="00220B48" w14:paraId="5D5D5A60" w14:textId="77777777" w:rsidTr="00DF04B6">
        <w:trPr>
          <w:trHeight w:val="270"/>
        </w:trPr>
        <w:tc>
          <w:tcPr>
            <w:tcW w:w="4962" w:type="dxa"/>
            <w:shd w:val="clear" w:color="auto" w:fill="auto"/>
            <w:tcMar>
              <w:top w:w="10" w:type="dxa"/>
              <w:left w:w="10" w:type="dxa"/>
              <w:bottom w:w="0" w:type="dxa"/>
              <w:right w:w="10" w:type="dxa"/>
            </w:tcMar>
            <w:vAlign w:val="center"/>
          </w:tcPr>
          <w:p w14:paraId="220B9F9C" w14:textId="77777777" w:rsidR="00BE57EF" w:rsidRPr="00220B48" w:rsidRDefault="00BE57EF" w:rsidP="00033852">
            <w:pPr>
              <w:spacing w:before="120" w:after="120" w:line="276" w:lineRule="auto"/>
              <w:ind w:left="136" w:firstLine="6"/>
              <w:rPr>
                <w:sz w:val="32"/>
                <w:szCs w:val="32"/>
              </w:rPr>
            </w:pPr>
            <w:r w:rsidRPr="00220B48">
              <w:rPr>
                <w:sz w:val="32"/>
                <w:szCs w:val="32"/>
              </w:rPr>
              <w:t>Total Transgender People on Boards of Management</w:t>
            </w:r>
          </w:p>
        </w:tc>
        <w:tc>
          <w:tcPr>
            <w:tcW w:w="1725" w:type="dxa"/>
            <w:shd w:val="clear" w:color="auto" w:fill="auto"/>
            <w:tcMar>
              <w:top w:w="10" w:type="dxa"/>
              <w:left w:w="10" w:type="dxa"/>
              <w:bottom w:w="0" w:type="dxa"/>
              <w:right w:w="10" w:type="dxa"/>
            </w:tcMar>
            <w:vAlign w:val="center"/>
          </w:tcPr>
          <w:p w14:paraId="32F6EE27" w14:textId="77777777" w:rsidR="00BE57EF" w:rsidRPr="00220B48" w:rsidRDefault="00BE57EF" w:rsidP="00033852">
            <w:pPr>
              <w:spacing w:before="120" w:after="120" w:line="276" w:lineRule="auto"/>
              <w:ind w:right="190"/>
              <w:jc w:val="right"/>
              <w:rPr>
                <w:sz w:val="32"/>
                <w:szCs w:val="32"/>
              </w:rPr>
            </w:pPr>
            <w:r w:rsidRPr="00220B48">
              <w:rPr>
                <w:sz w:val="32"/>
                <w:szCs w:val="32"/>
              </w:rPr>
              <w:t>*</w:t>
            </w:r>
          </w:p>
        </w:tc>
        <w:tc>
          <w:tcPr>
            <w:tcW w:w="1701" w:type="dxa"/>
            <w:tcBorders>
              <w:right w:val="nil"/>
            </w:tcBorders>
            <w:shd w:val="clear" w:color="auto" w:fill="auto"/>
            <w:tcMar>
              <w:top w:w="10" w:type="dxa"/>
              <w:left w:w="10" w:type="dxa"/>
              <w:bottom w:w="0" w:type="dxa"/>
              <w:right w:w="10" w:type="dxa"/>
            </w:tcMar>
            <w:vAlign w:val="center"/>
          </w:tcPr>
          <w:p w14:paraId="461B16C6" w14:textId="77777777" w:rsidR="00BE57EF" w:rsidRPr="00220B48" w:rsidRDefault="00BE57EF" w:rsidP="00033852">
            <w:pPr>
              <w:spacing w:before="120" w:after="120" w:line="276" w:lineRule="auto"/>
              <w:ind w:right="190"/>
              <w:jc w:val="right"/>
              <w:rPr>
                <w:sz w:val="32"/>
                <w:szCs w:val="32"/>
              </w:rPr>
            </w:pPr>
            <w:r w:rsidRPr="00220B48">
              <w:rPr>
                <w:sz w:val="32"/>
                <w:szCs w:val="32"/>
              </w:rPr>
              <w:t>*</w:t>
            </w:r>
          </w:p>
        </w:tc>
        <w:tc>
          <w:tcPr>
            <w:tcW w:w="26" w:type="dxa"/>
            <w:tcBorders>
              <w:left w:val="nil"/>
            </w:tcBorders>
            <w:shd w:val="clear" w:color="auto" w:fill="auto"/>
            <w:vAlign w:val="center"/>
          </w:tcPr>
          <w:p w14:paraId="18458425"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3DEB4D98" w14:textId="77777777" w:rsidR="00BE57EF" w:rsidRPr="00220B48" w:rsidRDefault="00BE57EF" w:rsidP="00033852">
            <w:pPr>
              <w:spacing w:before="120" w:after="120" w:line="276" w:lineRule="auto"/>
              <w:ind w:right="190"/>
              <w:jc w:val="right"/>
              <w:rPr>
                <w:sz w:val="32"/>
                <w:szCs w:val="32"/>
              </w:rPr>
            </w:pPr>
            <w:r w:rsidRPr="00220B48">
              <w:rPr>
                <w:sz w:val="32"/>
                <w:szCs w:val="32"/>
              </w:rPr>
              <w:t>N/A</w:t>
            </w:r>
          </w:p>
        </w:tc>
        <w:tc>
          <w:tcPr>
            <w:tcW w:w="2548" w:type="dxa"/>
            <w:shd w:val="clear" w:color="auto" w:fill="auto"/>
            <w:tcMar>
              <w:top w:w="10" w:type="dxa"/>
              <w:left w:w="10" w:type="dxa"/>
              <w:bottom w:w="0" w:type="dxa"/>
              <w:right w:w="10" w:type="dxa"/>
            </w:tcMar>
            <w:vAlign w:val="center"/>
          </w:tcPr>
          <w:p w14:paraId="070C8502" w14:textId="77777777" w:rsidR="00BE57EF" w:rsidRPr="00220B48" w:rsidRDefault="00BE57EF" w:rsidP="00033852">
            <w:pPr>
              <w:spacing w:before="120" w:after="120" w:line="276" w:lineRule="auto"/>
              <w:ind w:right="190"/>
              <w:jc w:val="right"/>
              <w:rPr>
                <w:sz w:val="32"/>
                <w:szCs w:val="32"/>
              </w:rPr>
            </w:pPr>
            <w:r w:rsidRPr="00220B48">
              <w:rPr>
                <w:sz w:val="32"/>
                <w:szCs w:val="32"/>
              </w:rPr>
              <w:t>N/A</w:t>
            </w:r>
          </w:p>
        </w:tc>
        <w:tc>
          <w:tcPr>
            <w:tcW w:w="2367" w:type="dxa"/>
            <w:shd w:val="clear" w:color="auto" w:fill="auto"/>
            <w:tcMar>
              <w:top w:w="10" w:type="dxa"/>
              <w:left w:w="10" w:type="dxa"/>
              <w:bottom w:w="0" w:type="dxa"/>
              <w:right w:w="10" w:type="dxa"/>
            </w:tcMar>
            <w:vAlign w:val="center"/>
          </w:tcPr>
          <w:p w14:paraId="06574777" w14:textId="77777777" w:rsidR="00BE57EF" w:rsidRPr="00220B48" w:rsidRDefault="00BE57EF" w:rsidP="00033852">
            <w:pPr>
              <w:spacing w:before="120" w:after="120" w:line="276" w:lineRule="auto"/>
              <w:ind w:right="190"/>
              <w:jc w:val="right"/>
              <w:rPr>
                <w:sz w:val="32"/>
                <w:szCs w:val="32"/>
              </w:rPr>
            </w:pPr>
            <w:r w:rsidRPr="00220B48">
              <w:rPr>
                <w:sz w:val="32"/>
                <w:szCs w:val="32"/>
              </w:rPr>
              <w:t>N/A</w:t>
            </w:r>
          </w:p>
        </w:tc>
      </w:tr>
      <w:tr w:rsidR="00427464" w:rsidRPr="00220B48" w14:paraId="4FDC6F27" w14:textId="77777777" w:rsidTr="00DF04B6">
        <w:trPr>
          <w:trHeight w:val="270"/>
        </w:trPr>
        <w:tc>
          <w:tcPr>
            <w:tcW w:w="4962" w:type="dxa"/>
            <w:shd w:val="clear" w:color="auto" w:fill="auto"/>
            <w:tcMar>
              <w:top w:w="10" w:type="dxa"/>
              <w:left w:w="10" w:type="dxa"/>
              <w:bottom w:w="0" w:type="dxa"/>
              <w:right w:w="10" w:type="dxa"/>
            </w:tcMar>
            <w:vAlign w:val="center"/>
          </w:tcPr>
          <w:p w14:paraId="6160ECEA" w14:textId="77777777" w:rsidR="00BE57EF" w:rsidRPr="00220B48" w:rsidRDefault="00BE57EF" w:rsidP="00033852">
            <w:pPr>
              <w:spacing w:before="120" w:after="120" w:line="276" w:lineRule="auto"/>
              <w:ind w:left="136" w:right="107" w:firstLine="6"/>
              <w:rPr>
                <w:sz w:val="32"/>
                <w:szCs w:val="32"/>
              </w:rPr>
            </w:pPr>
            <w:r w:rsidRPr="00220B48">
              <w:rPr>
                <w:sz w:val="32"/>
                <w:szCs w:val="32"/>
              </w:rPr>
              <w:t>Total Young People on Boards of Management</w:t>
            </w:r>
          </w:p>
        </w:tc>
        <w:tc>
          <w:tcPr>
            <w:tcW w:w="1725" w:type="dxa"/>
            <w:shd w:val="clear" w:color="auto" w:fill="auto"/>
            <w:tcMar>
              <w:top w:w="10" w:type="dxa"/>
              <w:left w:w="10" w:type="dxa"/>
              <w:bottom w:w="0" w:type="dxa"/>
              <w:right w:w="10" w:type="dxa"/>
            </w:tcMar>
            <w:vAlign w:val="center"/>
          </w:tcPr>
          <w:p w14:paraId="5E6DB741" w14:textId="77777777" w:rsidR="00BE57EF" w:rsidRPr="00220B48" w:rsidRDefault="00BE57EF" w:rsidP="00033852">
            <w:pPr>
              <w:spacing w:before="120" w:after="120" w:line="276" w:lineRule="auto"/>
              <w:ind w:right="190"/>
              <w:jc w:val="right"/>
              <w:rPr>
                <w:sz w:val="32"/>
                <w:szCs w:val="32"/>
              </w:rPr>
            </w:pPr>
            <w:r w:rsidRPr="00220B48">
              <w:rPr>
                <w:sz w:val="32"/>
                <w:szCs w:val="32"/>
              </w:rPr>
              <w:t>14</w:t>
            </w:r>
          </w:p>
        </w:tc>
        <w:tc>
          <w:tcPr>
            <w:tcW w:w="1701" w:type="dxa"/>
            <w:tcBorders>
              <w:right w:val="nil"/>
            </w:tcBorders>
            <w:shd w:val="clear" w:color="auto" w:fill="auto"/>
            <w:tcMar>
              <w:top w:w="10" w:type="dxa"/>
              <w:left w:w="10" w:type="dxa"/>
              <w:bottom w:w="0" w:type="dxa"/>
              <w:right w:w="10" w:type="dxa"/>
            </w:tcMar>
            <w:vAlign w:val="center"/>
          </w:tcPr>
          <w:p w14:paraId="321C282F" w14:textId="77777777" w:rsidR="00BE57EF" w:rsidRPr="00220B48" w:rsidRDefault="00BE57EF" w:rsidP="00033852">
            <w:pPr>
              <w:spacing w:before="120" w:after="120" w:line="276" w:lineRule="auto"/>
              <w:ind w:right="190"/>
              <w:jc w:val="right"/>
              <w:rPr>
                <w:sz w:val="32"/>
                <w:szCs w:val="32"/>
              </w:rPr>
            </w:pPr>
            <w:r w:rsidRPr="00220B48">
              <w:rPr>
                <w:sz w:val="32"/>
                <w:szCs w:val="32"/>
              </w:rPr>
              <w:t>13</w:t>
            </w:r>
          </w:p>
        </w:tc>
        <w:tc>
          <w:tcPr>
            <w:tcW w:w="26" w:type="dxa"/>
            <w:tcBorders>
              <w:left w:val="nil"/>
            </w:tcBorders>
            <w:shd w:val="clear" w:color="auto" w:fill="auto"/>
            <w:vAlign w:val="center"/>
          </w:tcPr>
          <w:p w14:paraId="7D3E584E" w14:textId="77777777" w:rsidR="00BE57EF" w:rsidRPr="00220B48" w:rsidRDefault="00BE57EF" w:rsidP="00033852">
            <w:pPr>
              <w:spacing w:before="120" w:after="120" w:line="276" w:lineRule="auto"/>
              <w:ind w:right="190"/>
              <w:jc w:val="right"/>
              <w:rPr>
                <w:sz w:val="32"/>
                <w:szCs w:val="32"/>
              </w:rPr>
            </w:pPr>
          </w:p>
        </w:tc>
        <w:tc>
          <w:tcPr>
            <w:tcW w:w="1603" w:type="dxa"/>
            <w:shd w:val="clear" w:color="auto" w:fill="auto"/>
            <w:tcMar>
              <w:top w:w="10" w:type="dxa"/>
              <w:left w:w="10" w:type="dxa"/>
              <w:bottom w:w="0" w:type="dxa"/>
              <w:right w:w="10" w:type="dxa"/>
            </w:tcMar>
            <w:vAlign w:val="center"/>
          </w:tcPr>
          <w:p w14:paraId="5BCEA23E" w14:textId="77777777" w:rsidR="00BE57EF" w:rsidRPr="00220B48" w:rsidRDefault="00BE57EF" w:rsidP="00033852">
            <w:pPr>
              <w:spacing w:before="120" w:after="120" w:line="276" w:lineRule="auto"/>
              <w:ind w:right="190"/>
              <w:jc w:val="right"/>
              <w:rPr>
                <w:sz w:val="32"/>
                <w:szCs w:val="32"/>
              </w:rPr>
            </w:pPr>
            <w:r w:rsidRPr="00220B48">
              <w:rPr>
                <w:sz w:val="32"/>
                <w:szCs w:val="32"/>
              </w:rPr>
              <w:t>-7.1</w:t>
            </w:r>
          </w:p>
        </w:tc>
        <w:tc>
          <w:tcPr>
            <w:tcW w:w="2548" w:type="dxa"/>
            <w:shd w:val="clear" w:color="auto" w:fill="auto"/>
            <w:tcMar>
              <w:top w:w="10" w:type="dxa"/>
              <w:left w:w="10" w:type="dxa"/>
              <w:bottom w:w="0" w:type="dxa"/>
              <w:right w:w="10" w:type="dxa"/>
            </w:tcMar>
            <w:vAlign w:val="center"/>
          </w:tcPr>
          <w:p w14:paraId="213312BF" w14:textId="77777777" w:rsidR="00BE57EF" w:rsidRPr="00220B48" w:rsidRDefault="00BE57EF" w:rsidP="00033852">
            <w:pPr>
              <w:spacing w:before="120" w:after="120" w:line="276" w:lineRule="auto"/>
              <w:ind w:right="190"/>
              <w:jc w:val="right"/>
              <w:rPr>
                <w:sz w:val="32"/>
                <w:szCs w:val="32"/>
              </w:rPr>
            </w:pPr>
            <w:r w:rsidRPr="00220B48">
              <w:rPr>
                <w:sz w:val="32"/>
                <w:szCs w:val="32"/>
              </w:rPr>
              <w:t>3.1</w:t>
            </w:r>
          </w:p>
        </w:tc>
        <w:tc>
          <w:tcPr>
            <w:tcW w:w="2367" w:type="dxa"/>
            <w:shd w:val="clear" w:color="auto" w:fill="auto"/>
            <w:tcMar>
              <w:top w:w="10" w:type="dxa"/>
              <w:left w:w="10" w:type="dxa"/>
              <w:bottom w:w="0" w:type="dxa"/>
              <w:right w:w="10" w:type="dxa"/>
            </w:tcMar>
            <w:vAlign w:val="center"/>
          </w:tcPr>
          <w:p w14:paraId="3F62E448" w14:textId="77777777" w:rsidR="00BE57EF" w:rsidRPr="00220B48" w:rsidRDefault="00BE57EF" w:rsidP="00033852">
            <w:pPr>
              <w:spacing w:before="120" w:after="120" w:line="276" w:lineRule="auto"/>
              <w:ind w:right="190"/>
              <w:jc w:val="right"/>
              <w:rPr>
                <w:sz w:val="32"/>
                <w:szCs w:val="32"/>
              </w:rPr>
            </w:pPr>
            <w:r w:rsidRPr="00220B48">
              <w:rPr>
                <w:sz w:val="32"/>
                <w:szCs w:val="32"/>
              </w:rPr>
              <w:t>2.3</w:t>
            </w:r>
          </w:p>
        </w:tc>
      </w:tr>
    </w:tbl>
    <w:p w14:paraId="740D4694" w14:textId="77777777" w:rsidR="00025582" w:rsidRDefault="00025582" w:rsidP="00863F7B"/>
    <w:p w14:paraId="04A73B75" w14:textId="77777777" w:rsidR="00E00FA9" w:rsidRDefault="00E00FA9" w:rsidP="00C369B3">
      <w:pPr>
        <w:sectPr w:rsidR="00E00FA9" w:rsidSect="003D457A">
          <w:type w:val="continuous"/>
          <w:pgSz w:w="16838" w:h="11906" w:orient="landscape"/>
          <w:pgMar w:top="993" w:right="1440" w:bottom="993" w:left="1560" w:header="708" w:footer="283" w:gutter="0"/>
          <w:cols w:space="708"/>
          <w:docGrid w:linePitch="490"/>
        </w:sectPr>
      </w:pPr>
    </w:p>
    <w:p w14:paraId="1252F502" w14:textId="77777777" w:rsidR="00815D47" w:rsidRDefault="00815D47" w:rsidP="00C369B3">
      <w:pPr>
        <w:sectPr w:rsidR="00815D47" w:rsidSect="003D457A">
          <w:type w:val="continuous"/>
          <w:pgSz w:w="16838" w:h="11906" w:orient="landscape"/>
          <w:pgMar w:top="993" w:right="1440" w:bottom="993" w:left="1560" w:header="708" w:footer="283" w:gutter="0"/>
          <w:cols w:space="708"/>
          <w:docGrid w:linePitch="490"/>
        </w:sectPr>
      </w:pPr>
    </w:p>
    <w:p w14:paraId="777C0AEF" w14:textId="138DFCB6" w:rsidR="00C369B3" w:rsidRDefault="00C369B3" w:rsidP="008D65A2">
      <w:pPr>
        <w:pStyle w:val="Heading4"/>
      </w:pPr>
      <w:r>
        <w:lastRenderedPageBreak/>
        <w:t>The data from our lottery funded programmes in 2022-23 continues to reflect a sector continuing to emerge from Covid with arts projects and programmes once again being at the heart of the applications received.</w:t>
      </w:r>
    </w:p>
    <w:p w14:paraId="55BB5FAA" w14:textId="4BDCBD47" w:rsidR="00515DC9" w:rsidRDefault="00C369B3" w:rsidP="00C369B3">
      <w:r>
        <w:t>In 2022-23 we awarded a total of £15.3 million to 502 projects. Of these a quarter were projects targeted at D/deaf or disabled people and a fifth of projects targeted at people from culturally and ethnically diverse backgrounds. The following table shows how projects in receipt of funding targeted their activity.</w:t>
      </w:r>
    </w:p>
    <w:p w14:paraId="797DE1E6" w14:textId="6D5039B3" w:rsidR="000D3DE7" w:rsidRDefault="000D3DE7">
      <w:pPr>
        <w:spacing w:before="0" w:after="160" w:line="259" w:lineRule="auto"/>
        <w:sectPr w:rsidR="000D3DE7" w:rsidSect="000D3DE7">
          <w:pgSz w:w="16838" w:h="11906" w:orient="landscape"/>
          <w:pgMar w:top="1702" w:right="1440" w:bottom="992" w:left="1276" w:header="709" w:footer="284" w:gutter="0"/>
          <w:cols w:space="708"/>
          <w:docGrid w:linePitch="490"/>
        </w:sectPr>
      </w:pPr>
    </w:p>
    <w:p w14:paraId="56CDA962" w14:textId="77777777" w:rsidR="003D457A" w:rsidRDefault="003D457A">
      <w:pPr>
        <w:spacing w:before="0" w:after="160" w:line="259" w:lineRule="auto"/>
        <w:sectPr w:rsidR="003D457A" w:rsidSect="000D3DE7">
          <w:type w:val="continuous"/>
          <w:pgSz w:w="16838" w:h="11906" w:orient="landscape"/>
          <w:pgMar w:top="1702" w:right="1440" w:bottom="992" w:left="851" w:header="709" w:footer="284" w:gutter="0"/>
          <w:cols w:space="708"/>
          <w:docGrid w:linePitch="490"/>
        </w:sectPr>
      </w:pPr>
    </w:p>
    <w:p w14:paraId="6E56177E" w14:textId="77777777" w:rsidR="00515DC9" w:rsidRDefault="00515DC9">
      <w:pPr>
        <w:spacing w:before="0" w:after="160" w:line="259" w:lineRule="auto"/>
      </w:pPr>
    </w:p>
    <w:tbl>
      <w:tblPr>
        <w:tblW w:w="134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4952"/>
        <w:gridCol w:w="1984"/>
        <w:gridCol w:w="1985"/>
        <w:gridCol w:w="2126"/>
        <w:gridCol w:w="2410"/>
      </w:tblGrid>
      <w:tr w:rsidR="00CA6B32" w:rsidRPr="00BF7645" w14:paraId="2F456C18" w14:textId="77777777" w:rsidTr="00B115E7">
        <w:trPr>
          <w:trHeight w:val="1309"/>
          <w:tblHeader/>
          <w:jc w:val="center"/>
        </w:trPr>
        <w:tc>
          <w:tcPr>
            <w:tcW w:w="4952" w:type="dxa"/>
            <w:shd w:val="clear" w:color="auto" w:fill="auto"/>
            <w:tcMar>
              <w:top w:w="10" w:type="dxa"/>
              <w:left w:w="10" w:type="dxa"/>
              <w:bottom w:w="0" w:type="dxa"/>
              <w:right w:w="10" w:type="dxa"/>
            </w:tcMar>
          </w:tcPr>
          <w:p w14:paraId="4D54F710" w14:textId="77777777" w:rsidR="00BF7645" w:rsidRPr="00BF7645" w:rsidRDefault="00BF7645" w:rsidP="00277491">
            <w:pPr>
              <w:spacing w:before="120" w:after="120"/>
              <w:ind w:left="122" w:right="136"/>
              <w:rPr>
                <w:sz w:val="32"/>
                <w:szCs w:val="32"/>
              </w:rPr>
            </w:pPr>
            <w:r w:rsidRPr="00BF7645">
              <w:rPr>
                <w:sz w:val="32"/>
                <w:szCs w:val="32"/>
              </w:rPr>
              <w:lastRenderedPageBreak/>
              <w:t> Protected Characteristic Group</w:t>
            </w:r>
          </w:p>
        </w:tc>
        <w:tc>
          <w:tcPr>
            <w:tcW w:w="1984" w:type="dxa"/>
            <w:shd w:val="clear" w:color="auto" w:fill="auto"/>
            <w:tcMar>
              <w:top w:w="10" w:type="dxa"/>
              <w:left w:w="10" w:type="dxa"/>
              <w:bottom w:w="0" w:type="dxa"/>
              <w:right w:w="10" w:type="dxa"/>
            </w:tcMar>
            <w:vAlign w:val="center"/>
          </w:tcPr>
          <w:p w14:paraId="4F9704D7" w14:textId="77777777" w:rsidR="00BF7645" w:rsidRPr="00BF7645" w:rsidRDefault="00BF7645" w:rsidP="00277491">
            <w:pPr>
              <w:spacing w:before="120" w:after="120"/>
              <w:ind w:right="136"/>
              <w:jc w:val="right"/>
              <w:rPr>
                <w:sz w:val="32"/>
                <w:szCs w:val="32"/>
              </w:rPr>
            </w:pPr>
            <w:r w:rsidRPr="00BF7645">
              <w:rPr>
                <w:sz w:val="32"/>
                <w:szCs w:val="32"/>
              </w:rPr>
              <w:t>Number of Awards</w:t>
            </w:r>
          </w:p>
        </w:tc>
        <w:tc>
          <w:tcPr>
            <w:tcW w:w="1985" w:type="dxa"/>
            <w:shd w:val="clear" w:color="auto" w:fill="auto"/>
            <w:tcMar>
              <w:top w:w="10" w:type="dxa"/>
              <w:left w:w="10" w:type="dxa"/>
              <w:bottom w:w="0" w:type="dxa"/>
              <w:right w:w="10" w:type="dxa"/>
            </w:tcMar>
            <w:vAlign w:val="center"/>
          </w:tcPr>
          <w:p w14:paraId="6FA198C0" w14:textId="77777777" w:rsidR="00BF7645" w:rsidRPr="00BF7645" w:rsidRDefault="00BF7645" w:rsidP="00277491">
            <w:pPr>
              <w:spacing w:before="120" w:after="120"/>
              <w:ind w:right="136"/>
              <w:jc w:val="right"/>
              <w:rPr>
                <w:sz w:val="32"/>
                <w:szCs w:val="32"/>
              </w:rPr>
            </w:pPr>
            <w:r w:rsidRPr="00BF7645">
              <w:rPr>
                <w:sz w:val="32"/>
                <w:szCs w:val="32"/>
              </w:rPr>
              <w:t>Total Value of Grant</w:t>
            </w:r>
          </w:p>
        </w:tc>
        <w:tc>
          <w:tcPr>
            <w:tcW w:w="2126" w:type="dxa"/>
            <w:shd w:val="clear" w:color="auto" w:fill="auto"/>
            <w:tcMar>
              <w:top w:w="10" w:type="dxa"/>
              <w:left w:w="10" w:type="dxa"/>
              <w:bottom w:w="0" w:type="dxa"/>
              <w:right w:w="10" w:type="dxa"/>
            </w:tcMar>
            <w:vAlign w:val="center"/>
          </w:tcPr>
          <w:p w14:paraId="256DE621" w14:textId="77777777" w:rsidR="00BF7645" w:rsidRPr="00BF7645" w:rsidRDefault="00BF7645" w:rsidP="00277491">
            <w:pPr>
              <w:spacing w:before="120" w:after="120"/>
              <w:ind w:right="136"/>
              <w:jc w:val="right"/>
              <w:rPr>
                <w:sz w:val="32"/>
                <w:szCs w:val="32"/>
              </w:rPr>
            </w:pPr>
            <w:r w:rsidRPr="00BF7645">
              <w:rPr>
                <w:b/>
                <w:bCs/>
                <w:sz w:val="32"/>
                <w:szCs w:val="32"/>
              </w:rPr>
              <w:t>% of all awards</w:t>
            </w:r>
          </w:p>
        </w:tc>
        <w:tc>
          <w:tcPr>
            <w:tcW w:w="2410" w:type="dxa"/>
            <w:shd w:val="clear" w:color="auto" w:fill="auto"/>
            <w:tcMar>
              <w:top w:w="10" w:type="dxa"/>
              <w:left w:w="10" w:type="dxa"/>
              <w:bottom w:w="0" w:type="dxa"/>
              <w:right w:w="10" w:type="dxa"/>
            </w:tcMar>
            <w:vAlign w:val="center"/>
          </w:tcPr>
          <w:p w14:paraId="04223484" w14:textId="77777777" w:rsidR="00BF7645" w:rsidRPr="00BF7645" w:rsidRDefault="00BF7645" w:rsidP="00277491">
            <w:pPr>
              <w:spacing w:before="120" w:after="120"/>
              <w:ind w:right="136"/>
              <w:jc w:val="right"/>
              <w:rPr>
                <w:sz w:val="32"/>
                <w:szCs w:val="32"/>
              </w:rPr>
            </w:pPr>
            <w:r w:rsidRPr="00BF7645">
              <w:rPr>
                <w:sz w:val="32"/>
                <w:szCs w:val="32"/>
              </w:rPr>
              <w:t>% value of all awards</w:t>
            </w:r>
          </w:p>
        </w:tc>
      </w:tr>
      <w:tr w:rsidR="00CA6B32" w:rsidRPr="00BF7645" w14:paraId="23FB942B" w14:textId="77777777" w:rsidTr="00B115E7">
        <w:trPr>
          <w:trHeight w:val="279"/>
          <w:jc w:val="center"/>
        </w:trPr>
        <w:tc>
          <w:tcPr>
            <w:tcW w:w="4952" w:type="dxa"/>
            <w:shd w:val="clear" w:color="auto" w:fill="auto"/>
            <w:tcMar>
              <w:top w:w="10" w:type="dxa"/>
              <w:left w:w="10" w:type="dxa"/>
              <w:bottom w:w="0" w:type="dxa"/>
              <w:right w:w="10" w:type="dxa"/>
            </w:tcMar>
            <w:vAlign w:val="center"/>
          </w:tcPr>
          <w:p w14:paraId="15509AC8" w14:textId="77777777" w:rsidR="00BF7645" w:rsidRPr="00BF7645" w:rsidRDefault="00BF7645" w:rsidP="00277491">
            <w:pPr>
              <w:spacing w:before="120" w:after="120"/>
              <w:ind w:left="122" w:right="136"/>
              <w:rPr>
                <w:sz w:val="32"/>
                <w:szCs w:val="32"/>
              </w:rPr>
            </w:pPr>
            <w:r w:rsidRPr="00BF7645">
              <w:rPr>
                <w:sz w:val="32"/>
                <w:szCs w:val="32"/>
              </w:rPr>
              <w:t xml:space="preserve">Culturally and Ethnically Diverse people </w:t>
            </w:r>
          </w:p>
        </w:tc>
        <w:tc>
          <w:tcPr>
            <w:tcW w:w="1984" w:type="dxa"/>
            <w:shd w:val="clear" w:color="auto" w:fill="auto"/>
            <w:tcMar>
              <w:top w:w="10" w:type="dxa"/>
              <w:left w:w="10" w:type="dxa"/>
              <w:bottom w:w="0" w:type="dxa"/>
              <w:right w:w="10" w:type="dxa"/>
            </w:tcMar>
            <w:vAlign w:val="center"/>
          </w:tcPr>
          <w:p w14:paraId="504E97C3"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105</w:t>
            </w:r>
          </w:p>
        </w:tc>
        <w:tc>
          <w:tcPr>
            <w:tcW w:w="1985" w:type="dxa"/>
            <w:shd w:val="clear" w:color="auto" w:fill="auto"/>
            <w:tcMar>
              <w:top w:w="10" w:type="dxa"/>
              <w:left w:w="10" w:type="dxa"/>
              <w:bottom w:w="0" w:type="dxa"/>
              <w:right w:w="10" w:type="dxa"/>
            </w:tcMar>
            <w:vAlign w:val="center"/>
          </w:tcPr>
          <w:p w14:paraId="7220FB03" w14:textId="363C1750"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2</w:t>
            </w:r>
            <w:r>
              <w:rPr>
                <w:color w:val="000000" w:themeColor="text1"/>
                <w:sz w:val="32"/>
                <w:szCs w:val="32"/>
              </w:rPr>
              <w:t>,</w:t>
            </w:r>
            <w:r w:rsidR="00BF7645" w:rsidRPr="00BF7645">
              <w:rPr>
                <w:color w:val="000000" w:themeColor="text1"/>
                <w:sz w:val="32"/>
                <w:szCs w:val="32"/>
              </w:rPr>
              <w:t>826</w:t>
            </w:r>
            <w:r>
              <w:rPr>
                <w:color w:val="000000" w:themeColor="text1"/>
                <w:sz w:val="32"/>
                <w:szCs w:val="32"/>
              </w:rPr>
              <w:t>,</w:t>
            </w:r>
            <w:r w:rsidR="00BF7645" w:rsidRPr="00BF7645">
              <w:rPr>
                <w:color w:val="000000" w:themeColor="text1"/>
                <w:sz w:val="32"/>
                <w:szCs w:val="32"/>
              </w:rPr>
              <w:t>506</w:t>
            </w:r>
          </w:p>
        </w:tc>
        <w:tc>
          <w:tcPr>
            <w:tcW w:w="2126" w:type="dxa"/>
            <w:shd w:val="clear" w:color="auto" w:fill="auto"/>
            <w:tcMar>
              <w:top w:w="10" w:type="dxa"/>
              <w:left w:w="10" w:type="dxa"/>
              <w:bottom w:w="0" w:type="dxa"/>
              <w:right w:w="10" w:type="dxa"/>
            </w:tcMar>
            <w:vAlign w:val="center"/>
          </w:tcPr>
          <w:p w14:paraId="764AA6DC"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20.9</w:t>
            </w:r>
          </w:p>
        </w:tc>
        <w:tc>
          <w:tcPr>
            <w:tcW w:w="2410" w:type="dxa"/>
            <w:shd w:val="clear" w:color="auto" w:fill="auto"/>
            <w:tcMar>
              <w:top w:w="10" w:type="dxa"/>
              <w:left w:w="10" w:type="dxa"/>
              <w:bottom w:w="0" w:type="dxa"/>
              <w:right w:w="10" w:type="dxa"/>
            </w:tcMar>
            <w:vAlign w:val="center"/>
          </w:tcPr>
          <w:p w14:paraId="28F04108"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18.4</w:t>
            </w:r>
          </w:p>
        </w:tc>
      </w:tr>
      <w:tr w:rsidR="00CA6B32" w:rsidRPr="00BF7645" w14:paraId="16349F6B" w14:textId="77777777" w:rsidTr="00B115E7">
        <w:trPr>
          <w:trHeight w:val="270"/>
          <w:jc w:val="center"/>
        </w:trPr>
        <w:tc>
          <w:tcPr>
            <w:tcW w:w="4952" w:type="dxa"/>
            <w:shd w:val="clear" w:color="auto" w:fill="auto"/>
            <w:tcMar>
              <w:top w:w="10" w:type="dxa"/>
              <w:left w:w="10" w:type="dxa"/>
              <w:bottom w:w="0" w:type="dxa"/>
              <w:right w:w="10" w:type="dxa"/>
            </w:tcMar>
            <w:vAlign w:val="center"/>
          </w:tcPr>
          <w:p w14:paraId="056FFB4F" w14:textId="77777777" w:rsidR="00BF7645" w:rsidRPr="00BF7645" w:rsidRDefault="00BF7645" w:rsidP="00277491">
            <w:pPr>
              <w:spacing w:before="120" w:after="120"/>
              <w:ind w:left="122" w:right="136"/>
              <w:rPr>
                <w:sz w:val="32"/>
                <w:szCs w:val="32"/>
              </w:rPr>
            </w:pPr>
            <w:r w:rsidRPr="00BF7645">
              <w:rPr>
                <w:sz w:val="32"/>
                <w:szCs w:val="32"/>
              </w:rPr>
              <w:t xml:space="preserve">Children &amp; Young people </w:t>
            </w:r>
          </w:p>
        </w:tc>
        <w:tc>
          <w:tcPr>
            <w:tcW w:w="1984" w:type="dxa"/>
            <w:shd w:val="clear" w:color="auto" w:fill="auto"/>
            <w:tcMar>
              <w:top w:w="10" w:type="dxa"/>
              <w:left w:w="10" w:type="dxa"/>
              <w:bottom w:w="0" w:type="dxa"/>
              <w:right w:w="10" w:type="dxa"/>
            </w:tcMar>
            <w:vAlign w:val="center"/>
          </w:tcPr>
          <w:p w14:paraId="3408B654"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114</w:t>
            </w:r>
          </w:p>
        </w:tc>
        <w:tc>
          <w:tcPr>
            <w:tcW w:w="1985" w:type="dxa"/>
            <w:shd w:val="clear" w:color="auto" w:fill="auto"/>
            <w:tcMar>
              <w:top w:w="10" w:type="dxa"/>
              <w:left w:w="10" w:type="dxa"/>
              <w:bottom w:w="0" w:type="dxa"/>
              <w:right w:w="10" w:type="dxa"/>
            </w:tcMar>
            <w:vAlign w:val="center"/>
          </w:tcPr>
          <w:p w14:paraId="4D4789EF" w14:textId="3A572C35"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3</w:t>
            </w:r>
            <w:r>
              <w:rPr>
                <w:color w:val="000000" w:themeColor="text1"/>
                <w:sz w:val="32"/>
                <w:szCs w:val="32"/>
              </w:rPr>
              <w:t>,</w:t>
            </w:r>
            <w:r w:rsidR="00BF7645" w:rsidRPr="00BF7645">
              <w:rPr>
                <w:color w:val="000000" w:themeColor="text1"/>
                <w:sz w:val="32"/>
                <w:szCs w:val="32"/>
              </w:rPr>
              <w:t>934</w:t>
            </w:r>
            <w:r>
              <w:rPr>
                <w:color w:val="000000" w:themeColor="text1"/>
                <w:sz w:val="32"/>
                <w:szCs w:val="32"/>
              </w:rPr>
              <w:t>,</w:t>
            </w:r>
            <w:r w:rsidR="00BF7645" w:rsidRPr="00BF7645">
              <w:rPr>
                <w:color w:val="000000" w:themeColor="text1"/>
                <w:sz w:val="32"/>
                <w:szCs w:val="32"/>
              </w:rPr>
              <w:t>881</w:t>
            </w:r>
          </w:p>
        </w:tc>
        <w:tc>
          <w:tcPr>
            <w:tcW w:w="2126" w:type="dxa"/>
            <w:shd w:val="clear" w:color="auto" w:fill="auto"/>
            <w:tcMar>
              <w:top w:w="10" w:type="dxa"/>
              <w:left w:w="10" w:type="dxa"/>
              <w:bottom w:w="0" w:type="dxa"/>
              <w:right w:w="10" w:type="dxa"/>
            </w:tcMar>
            <w:vAlign w:val="center"/>
          </w:tcPr>
          <w:p w14:paraId="4C83725C"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22.7</w:t>
            </w:r>
          </w:p>
        </w:tc>
        <w:tc>
          <w:tcPr>
            <w:tcW w:w="2410" w:type="dxa"/>
            <w:shd w:val="clear" w:color="auto" w:fill="auto"/>
            <w:tcMar>
              <w:top w:w="10" w:type="dxa"/>
              <w:left w:w="10" w:type="dxa"/>
              <w:bottom w:w="0" w:type="dxa"/>
              <w:right w:w="10" w:type="dxa"/>
            </w:tcMar>
            <w:vAlign w:val="center"/>
          </w:tcPr>
          <w:p w14:paraId="69C719C6"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25.7</w:t>
            </w:r>
          </w:p>
        </w:tc>
      </w:tr>
      <w:tr w:rsidR="00CA6B32" w:rsidRPr="00BF7645" w14:paraId="4B67CF01" w14:textId="77777777" w:rsidTr="00B115E7">
        <w:trPr>
          <w:trHeight w:val="270"/>
          <w:jc w:val="center"/>
        </w:trPr>
        <w:tc>
          <w:tcPr>
            <w:tcW w:w="4952" w:type="dxa"/>
            <w:shd w:val="clear" w:color="auto" w:fill="auto"/>
            <w:tcMar>
              <w:top w:w="10" w:type="dxa"/>
              <w:left w:w="10" w:type="dxa"/>
              <w:bottom w:w="0" w:type="dxa"/>
              <w:right w:w="10" w:type="dxa"/>
            </w:tcMar>
            <w:vAlign w:val="center"/>
          </w:tcPr>
          <w:p w14:paraId="7BD48137" w14:textId="77777777" w:rsidR="00BF7645" w:rsidRPr="00BF7645" w:rsidRDefault="00BF7645" w:rsidP="00277491">
            <w:pPr>
              <w:spacing w:before="120" w:after="120"/>
              <w:ind w:left="122" w:right="136"/>
              <w:rPr>
                <w:sz w:val="32"/>
                <w:szCs w:val="32"/>
              </w:rPr>
            </w:pPr>
            <w:r w:rsidRPr="00BF7645">
              <w:rPr>
                <w:sz w:val="32"/>
                <w:szCs w:val="32"/>
              </w:rPr>
              <w:t xml:space="preserve">Older People </w:t>
            </w:r>
          </w:p>
        </w:tc>
        <w:tc>
          <w:tcPr>
            <w:tcW w:w="1984" w:type="dxa"/>
            <w:shd w:val="clear" w:color="auto" w:fill="auto"/>
            <w:tcMar>
              <w:top w:w="10" w:type="dxa"/>
              <w:left w:w="10" w:type="dxa"/>
              <w:bottom w:w="0" w:type="dxa"/>
              <w:right w:w="10" w:type="dxa"/>
            </w:tcMar>
            <w:vAlign w:val="center"/>
          </w:tcPr>
          <w:p w14:paraId="226E27C6"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36</w:t>
            </w:r>
          </w:p>
        </w:tc>
        <w:tc>
          <w:tcPr>
            <w:tcW w:w="1985" w:type="dxa"/>
            <w:shd w:val="clear" w:color="auto" w:fill="auto"/>
            <w:tcMar>
              <w:top w:w="10" w:type="dxa"/>
              <w:left w:w="10" w:type="dxa"/>
              <w:bottom w:w="0" w:type="dxa"/>
              <w:right w:w="10" w:type="dxa"/>
            </w:tcMar>
            <w:vAlign w:val="center"/>
          </w:tcPr>
          <w:p w14:paraId="76F89617" w14:textId="37380D3F"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856</w:t>
            </w:r>
            <w:r>
              <w:rPr>
                <w:color w:val="000000" w:themeColor="text1"/>
                <w:sz w:val="32"/>
                <w:szCs w:val="32"/>
              </w:rPr>
              <w:t>,</w:t>
            </w:r>
            <w:r w:rsidR="00BF7645" w:rsidRPr="00BF7645">
              <w:rPr>
                <w:color w:val="000000" w:themeColor="text1"/>
                <w:sz w:val="32"/>
                <w:szCs w:val="32"/>
              </w:rPr>
              <w:t>526</w:t>
            </w:r>
          </w:p>
        </w:tc>
        <w:tc>
          <w:tcPr>
            <w:tcW w:w="2126" w:type="dxa"/>
            <w:shd w:val="clear" w:color="auto" w:fill="auto"/>
            <w:tcMar>
              <w:top w:w="10" w:type="dxa"/>
              <w:left w:w="10" w:type="dxa"/>
              <w:bottom w:w="0" w:type="dxa"/>
              <w:right w:w="10" w:type="dxa"/>
            </w:tcMar>
            <w:vAlign w:val="center"/>
          </w:tcPr>
          <w:p w14:paraId="39A2F547"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7.2</w:t>
            </w:r>
          </w:p>
        </w:tc>
        <w:tc>
          <w:tcPr>
            <w:tcW w:w="2410" w:type="dxa"/>
            <w:shd w:val="clear" w:color="auto" w:fill="auto"/>
            <w:tcMar>
              <w:top w:w="10" w:type="dxa"/>
              <w:left w:w="10" w:type="dxa"/>
              <w:bottom w:w="0" w:type="dxa"/>
              <w:right w:w="10" w:type="dxa"/>
            </w:tcMar>
            <w:vAlign w:val="center"/>
          </w:tcPr>
          <w:p w14:paraId="3BA887A0"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5.6</w:t>
            </w:r>
          </w:p>
        </w:tc>
      </w:tr>
      <w:tr w:rsidR="00CA6B32" w:rsidRPr="00BF7645" w14:paraId="302F9D8B" w14:textId="77777777" w:rsidTr="00B115E7">
        <w:trPr>
          <w:trHeight w:val="270"/>
          <w:jc w:val="center"/>
        </w:trPr>
        <w:tc>
          <w:tcPr>
            <w:tcW w:w="4952" w:type="dxa"/>
            <w:shd w:val="clear" w:color="auto" w:fill="auto"/>
            <w:tcMar>
              <w:top w:w="10" w:type="dxa"/>
              <w:left w:w="10" w:type="dxa"/>
              <w:bottom w:w="0" w:type="dxa"/>
              <w:right w:w="10" w:type="dxa"/>
            </w:tcMar>
            <w:vAlign w:val="center"/>
          </w:tcPr>
          <w:p w14:paraId="687D36F2" w14:textId="77777777" w:rsidR="00BF7645" w:rsidRPr="00BF7645" w:rsidRDefault="00BF7645" w:rsidP="00277491">
            <w:pPr>
              <w:spacing w:before="120" w:after="120"/>
              <w:ind w:left="122" w:right="136"/>
              <w:rPr>
                <w:sz w:val="32"/>
                <w:szCs w:val="32"/>
              </w:rPr>
            </w:pPr>
            <w:r w:rsidRPr="00BF7645">
              <w:rPr>
                <w:sz w:val="32"/>
                <w:szCs w:val="32"/>
              </w:rPr>
              <w:t>D/deaf or disabled people</w:t>
            </w:r>
          </w:p>
        </w:tc>
        <w:tc>
          <w:tcPr>
            <w:tcW w:w="1984" w:type="dxa"/>
            <w:shd w:val="clear" w:color="auto" w:fill="auto"/>
            <w:tcMar>
              <w:top w:w="10" w:type="dxa"/>
              <w:left w:w="10" w:type="dxa"/>
              <w:bottom w:w="0" w:type="dxa"/>
              <w:right w:w="10" w:type="dxa"/>
            </w:tcMar>
            <w:vAlign w:val="center"/>
          </w:tcPr>
          <w:p w14:paraId="26B1DD19"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117</w:t>
            </w:r>
          </w:p>
        </w:tc>
        <w:tc>
          <w:tcPr>
            <w:tcW w:w="1985" w:type="dxa"/>
            <w:shd w:val="clear" w:color="auto" w:fill="auto"/>
            <w:tcMar>
              <w:top w:w="10" w:type="dxa"/>
              <w:left w:w="10" w:type="dxa"/>
              <w:bottom w:w="0" w:type="dxa"/>
              <w:right w:w="10" w:type="dxa"/>
            </w:tcMar>
            <w:vAlign w:val="center"/>
          </w:tcPr>
          <w:p w14:paraId="107BD33D" w14:textId="139ADDB4"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4</w:t>
            </w:r>
            <w:r>
              <w:rPr>
                <w:color w:val="000000" w:themeColor="text1"/>
                <w:sz w:val="32"/>
                <w:szCs w:val="32"/>
              </w:rPr>
              <w:t>,</w:t>
            </w:r>
            <w:r w:rsidR="00BF7645" w:rsidRPr="00BF7645">
              <w:rPr>
                <w:color w:val="000000" w:themeColor="text1"/>
                <w:sz w:val="32"/>
                <w:szCs w:val="32"/>
              </w:rPr>
              <w:t>058</w:t>
            </w:r>
            <w:r>
              <w:rPr>
                <w:color w:val="000000" w:themeColor="text1"/>
                <w:sz w:val="32"/>
                <w:szCs w:val="32"/>
              </w:rPr>
              <w:t>,</w:t>
            </w:r>
            <w:r w:rsidR="00BF7645" w:rsidRPr="00BF7645">
              <w:rPr>
                <w:color w:val="000000" w:themeColor="text1"/>
                <w:sz w:val="32"/>
                <w:szCs w:val="32"/>
              </w:rPr>
              <w:t>859</w:t>
            </w:r>
          </w:p>
        </w:tc>
        <w:tc>
          <w:tcPr>
            <w:tcW w:w="2126" w:type="dxa"/>
            <w:shd w:val="clear" w:color="auto" w:fill="auto"/>
            <w:tcMar>
              <w:top w:w="10" w:type="dxa"/>
              <w:left w:w="10" w:type="dxa"/>
              <w:bottom w:w="0" w:type="dxa"/>
              <w:right w:w="10" w:type="dxa"/>
            </w:tcMar>
            <w:vAlign w:val="center"/>
          </w:tcPr>
          <w:p w14:paraId="796385C0"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23.3</w:t>
            </w:r>
          </w:p>
        </w:tc>
        <w:tc>
          <w:tcPr>
            <w:tcW w:w="2410" w:type="dxa"/>
            <w:shd w:val="clear" w:color="auto" w:fill="auto"/>
            <w:tcMar>
              <w:top w:w="10" w:type="dxa"/>
              <w:left w:w="10" w:type="dxa"/>
              <w:bottom w:w="0" w:type="dxa"/>
              <w:right w:w="10" w:type="dxa"/>
            </w:tcMar>
            <w:vAlign w:val="center"/>
          </w:tcPr>
          <w:p w14:paraId="7A0F1899"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26.5</w:t>
            </w:r>
          </w:p>
        </w:tc>
      </w:tr>
      <w:tr w:rsidR="00CA6B32" w:rsidRPr="00BF7645" w14:paraId="4A163ACA" w14:textId="77777777" w:rsidTr="00B115E7">
        <w:trPr>
          <w:trHeight w:val="270"/>
          <w:jc w:val="center"/>
        </w:trPr>
        <w:tc>
          <w:tcPr>
            <w:tcW w:w="4952" w:type="dxa"/>
            <w:shd w:val="clear" w:color="auto" w:fill="auto"/>
            <w:tcMar>
              <w:top w:w="10" w:type="dxa"/>
              <w:left w:w="10" w:type="dxa"/>
              <w:bottom w:w="0" w:type="dxa"/>
              <w:right w:w="10" w:type="dxa"/>
            </w:tcMar>
            <w:vAlign w:val="center"/>
          </w:tcPr>
          <w:p w14:paraId="2DBBAFFE" w14:textId="77777777" w:rsidR="00BF7645" w:rsidRPr="00BF7645" w:rsidRDefault="00BF7645" w:rsidP="00277491">
            <w:pPr>
              <w:spacing w:before="120" w:after="120"/>
              <w:ind w:left="122" w:right="136"/>
              <w:rPr>
                <w:sz w:val="32"/>
                <w:szCs w:val="32"/>
              </w:rPr>
            </w:pPr>
            <w:r w:rsidRPr="00BF7645">
              <w:rPr>
                <w:sz w:val="32"/>
                <w:szCs w:val="32"/>
              </w:rPr>
              <w:t>People who are pregnant or on Maternity Leave</w:t>
            </w:r>
          </w:p>
        </w:tc>
        <w:tc>
          <w:tcPr>
            <w:tcW w:w="1984" w:type="dxa"/>
            <w:shd w:val="clear" w:color="auto" w:fill="auto"/>
            <w:tcMar>
              <w:top w:w="10" w:type="dxa"/>
              <w:left w:w="10" w:type="dxa"/>
              <w:bottom w:w="0" w:type="dxa"/>
              <w:right w:w="10" w:type="dxa"/>
            </w:tcMar>
            <w:vAlign w:val="center"/>
          </w:tcPr>
          <w:p w14:paraId="145B7C97"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5</w:t>
            </w:r>
          </w:p>
        </w:tc>
        <w:tc>
          <w:tcPr>
            <w:tcW w:w="1985" w:type="dxa"/>
            <w:shd w:val="clear" w:color="auto" w:fill="auto"/>
            <w:tcMar>
              <w:top w:w="10" w:type="dxa"/>
              <w:left w:w="10" w:type="dxa"/>
              <w:bottom w:w="0" w:type="dxa"/>
              <w:right w:w="10" w:type="dxa"/>
            </w:tcMar>
            <w:vAlign w:val="center"/>
          </w:tcPr>
          <w:p w14:paraId="14C7741E" w14:textId="7C60EEF8"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77</w:t>
            </w:r>
            <w:r>
              <w:rPr>
                <w:color w:val="000000" w:themeColor="text1"/>
                <w:sz w:val="32"/>
                <w:szCs w:val="32"/>
              </w:rPr>
              <w:t>,</w:t>
            </w:r>
            <w:r w:rsidR="00BF7645" w:rsidRPr="00BF7645">
              <w:rPr>
                <w:color w:val="000000" w:themeColor="text1"/>
                <w:sz w:val="32"/>
                <w:szCs w:val="32"/>
              </w:rPr>
              <w:t>340</w:t>
            </w:r>
          </w:p>
        </w:tc>
        <w:tc>
          <w:tcPr>
            <w:tcW w:w="2126" w:type="dxa"/>
            <w:shd w:val="clear" w:color="auto" w:fill="auto"/>
            <w:tcMar>
              <w:top w:w="10" w:type="dxa"/>
              <w:left w:w="10" w:type="dxa"/>
              <w:bottom w:w="0" w:type="dxa"/>
              <w:right w:w="10" w:type="dxa"/>
            </w:tcMar>
            <w:vAlign w:val="center"/>
          </w:tcPr>
          <w:p w14:paraId="42BE4C69"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1.0</w:t>
            </w:r>
          </w:p>
        </w:tc>
        <w:tc>
          <w:tcPr>
            <w:tcW w:w="2410" w:type="dxa"/>
            <w:shd w:val="clear" w:color="auto" w:fill="auto"/>
            <w:tcMar>
              <w:top w:w="10" w:type="dxa"/>
              <w:left w:w="10" w:type="dxa"/>
              <w:bottom w:w="0" w:type="dxa"/>
              <w:right w:w="10" w:type="dxa"/>
            </w:tcMar>
            <w:vAlign w:val="center"/>
          </w:tcPr>
          <w:p w14:paraId="198623C0"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0.5</w:t>
            </w:r>
          </w:p>
        </w:tc>
      </w:tr>
      <w:tr w:rsidR="00CA6B32" w:rsidRPr="00BF7645" w14:paraId="7FBCB3AF" w14:textId="77777777" w:rsidTr="00B115E7">
        <w:trPr>
          <w:trHeight w:val="270"/>
          <w:jc w:val="center"/>
        </w:trPr>
        <w:tc>
          <w:tcPr>
            <w:tcW w:w="4952" w:type="dxa"/>
            <w:shd w:val="clear" w:color="auto" w:fill="auto"/>
            <w:tcMar>
              <w:top w:w="10" w:type="dxa"/>
              <w:left w:w="10" w:type="dxa"/>
              <w:bottom w:w="0" w:type="dxa"/>
              <w:right w:w="10" w:type="dxa"/>
            </w:tcMar>
            <w:vAlign w:val="center"/>
          </w:tcPr>
          <w:p w14:paraId="51DA4082" w14:textId="77777777" w:rsidR="00BF7645" w:rsidRPr="00BF7645" w:rsidRDefault="00BF7645" w:rsidP="00277491">
            <w:pPr>
              <w:spacing w:before="120" w:after="120"/>
              <w:ind w:left="122" w:right="136"/>
              <w:rPr>
                <w:sz w:val="32"/>
                <w:szCs w:val="32"/>
              </w:rPr>
            </w:pPr>
            <w:r w:rsidRPr="00BF7645">
              <w:rPr>
                <w:sz w:val="32"/>
                <w:szCs w:val="32"/>
              </w:rPr>
              <w:t>Male</w:t>
            </w:r>
          </w:p>
        </w:tc>
        <w:tc>
          <w:tcPr>
            <w:tcW w:w="1984" w:type="dxa"/>
            <w:shd w:val="clear" w:color="auto" w:fill="auto"/>
            <w:tcMar>
              <w:top w:w="10" w:type="dxa"/>
              <w:left w:w="10" w:type="dxa"/>
              <w:bottom w:w="0" w:type="dxa"/>
              <w:right w:w="10" w:type="dxa"/>
            </w:tcMar>
            <w:vAlign w:val="center"/>
          </w:tcPr>
          <w:p w14:paraId="3CE98EFF"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4</w:t>
            </w:r>
          </w:p>
        </w:tc>
        <w:tc>
          <w:tcPr>
            <w:tcW w:w="1985" w:type="dxa"/>
            <w:shd w:val="clear" w:color="auto" w:fill="auto"/>
            <w:tcMar>
              <w:top w:w="10" w:type="dxa"/>
              <w:left w:w="10" w:type="dxa"/>
              <w:bottom w:w="0" w:type="dxa"/>
              <w:right w:w="10" w:type="dxa"/>
            </w:tcMar>
            <w:vAlign w:val="center"/>
          </w:tcPr>
          <w:p w14:paraId="671FA952" w14:textId="2DBC8C11"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34</w:t>
            </w:r>
            <w:r>
              <w:rPr>
                <w:color w:val="000000" w:themeColor="text1"/>
                <w:sz w:val="32"/>
                <w:szCs w:val="32"/>
              </w:rPr>
              <w:t>,</w:t>
            </w:r>
            <w:r w:rsidR="00BF7645" w:rsidRPr="00BF7645">
              <w:rPr>
                <w:color w:val="000000" w:themeColor="text1"/>
                <w:sz w:val="32"/>
                <w:szCs w:val="32"/>
              </w:rPr>
              <w:t>866</w:t>
            </w:r>
          </w:p>
        </w:tc>
        <w:tc>
          <w:tcPr>
            <w:tcW w:w="2126" w:type="dxa"/>
            <w:shd w:val="clear" w:color="auto" w:fill="auto"/>
            <w:tcMar>
              <w:top w:w="10" w:type="dxa"/>
              <w:left w:w="10" w:type="dxa"/>
              <w:bottom w:w="0" w:type="dxa"/>
              <w:right w:w="10" w:type="dxa"/>
            </w:tcMar>
            <w:vAlign w:val="center"/>
          </w:tcPr>
          <w:p w14:paraId="44AFA314"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0.8</w:t>
            </w:r>
          </w:p>
        </w:tc>
        <w:tc>
          <w:tcPr>
            <w:tcW w:w="2410" w:type="dxa"/>
            <w:shd w:val="clear" w:color="auto" w:fill="auto"/>
            <w:tcMar>
              <w:top w:w="10" w:type="dxa"/>
              <w:left w:w="10" w:type="dxa"/>
              <w:bottom w:w="0" w:type="dxa"/>
              <w:right w:w="10" w:type="dxa"/>
            </w:tcMar>
            <w:vAlign w:val="center"/>
          </w:tcPr>
          <w:p w14:paraId="21100C83"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0.2</w:t>
            </w:r>
          </w:p>
        </w:tc>
      </w:tr>
      <w:tr w:rsidR="00CA6B32" w:rsidRPr="00BF7645" w14:paraId="596D1FA0" w14:textId="77777777" w:rsidTr="00B115E7">
        <w:trPr>
          <w:trHeight w:val="270"/>
          <w:jc w:val="center"/>
        </w:trPr>
        <w:tc>
          <w:tcPr>
            <w:tcW w:w="4952" w:type="dxa"/>
            <w:shd w:val="clear" w:color="auto" w:fill="auto"/>
            <w:tcMar>
              <w:top w:w="10" w:type="dxa"/>
              <w:left w:w="10" w:type="dxa"/>
              <w:bottom w:w="0" w:type="dxa"/>
              <w:right w:w="10" w:type="dxa"/>
            </w:tcMar>
            <w:vAlign w:val="center"/>
          </w:tcPr>
          <w:p w14:paraId="05464653" w14:textId="77777777" w:rsidR="00BF7645" w:rsidRPr="00BF7645" w:rsidRDefault="00BF7645" w:rsidP="00277491">
            <w:pPr>
              <w:spacing w:before="120" w:after="120"/>
              <w:ind w:left="122" w:right="136"/>
              <w:rPr>
                <w:sz w:val="32"/>
                <w:szCs w:val="32"/>
              </w:rPr>
            </w:pPr>
            <w:r w:rsidRPr="00BF7645">
              <w:rPr>
                <w:sz w:val="32"/>
                <w:szCs w:val="32"/>
              </w:rPr>
              <w:t>Female</w:t>
            </w:r>
          </w:p>
        </w:tc>
        <w:tc>
          <w:tcPr>
            <w:tcW w:w="1984" w:type="dxa"/>
            <w:shd w:val="clear" w:color="auto" w:fill="auto"/>
            <w:tcMar>
              <w:top w:w="10" w:type="dxa"/>
              <w:left w:w="10" w:type="dxa"/>
              <w:bottom w:w="0" w:type="dxa"/>
              <w:right w:w="10" w:type="dxa"/>
            </w:tcMar>
            <w:vAlign w:val="center"/>
          </w:tcPr>
          <w:p w14:paraId="74049A77"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105</w:t>
            </w:r>
          </w:p>
        </w:tc>
        <w:tc>
          <w:tcPr>
            <w:tcW w:w="1985" w:type="dxa"/>
            <w:shd w:val="clear" w:color="auto" w:fill="auto"/>
            <w:tcMar>
              <w:top w:w="10" w:type="dxa"/>
              <w:left w:w="10" w:type="dxa"/>
              <w:bottom w:w="0" w:type="dxa"/>
              <w:right w:w="10" w:type="dxa"/>
            </w:tcMar>
            <w:vAlign w:val="center"/>
          </w:tcPr>
          <w:p w14:paraId="6FA6CFE6" w14:textId="35563846" w:rsidR="00BF7645" w:rsidRPr="00BF7645" w:rsidRDefault="00D461B7" w:rsidP="00277491">
            <w:pPr>
              <w:spacing w:before="120" w:after="120"/>
              <w:ind w:right="136"/>
              <w:jc w:val="right"/>
              <w:rPr>
                <w:color w:val="FF0000"/>
                <w:sz w:val="32"/>
                <w:szCs w:val="32"/>
              </w:rPr>
            </w:pPr>
            <w:r>
              <w:rPr>
                <w:color w:val="000000" w:themeColor="text1"/>
                <w:sz w:val="32"/>
                <w:szCs w:val="32"/>
              </w:rPr>
              <w:t>£</w:t>
            </w:r>
            <w:r w:rsidR="00BF7645" w:rsidRPr="00BF7645">
              <w:rPr>
                <w:color w:val="000000" w:themeColor="text1"/>
                <w:sz w:val="32"/>
                <w:szCs w:val="32"/>
              </w:rPr>
              <w:t>2</w:t>
            </w:r>
            <w:r>
              <w:rPr>
                <w:color w:val="000000" w:themeColor="text1"/>
                <w:sz w:val="32"/>
                <w:szCs w:val="32"/>
              </w:rPr>
              <w:t>,</w:t>
            </w:r>
            <w:r w:rsidR="00BF7645" w:rsidRPr="00BF7645">
              <w:rPr>
                <w:color w:val="000000" w:themeColor="text1"/>
                <w:sz w:val="32"/>
                <w:szCs w:val="32"/>
              </w:rPr>
              <w:t>826</w:t>
            </w:r>
            <w:r>
              <w:rPr>
                <w:color w:val="000000" w:themeColor="text1"/>
                <w:sz w:val="32"/>
                <w:szCs w:val="32"/>
              </w:rPr>
              <w:t>,</w:t>
            </w:r>
            <w:r w:rsidR="00BF7645" w:rsidRPr="00BF7645">
              <w:rPr>
                <w:color w:val="000000" w:themeColor="text1"/>
                <w:sz w:val="32"/>
                <w:szCs w:val="32"/>
              </w:rPr>
              <w:t>506</w:t>
            </w:r>
          </w:p>
        </w:tc>
        <w:tc>
          <w:tcPr>
            <w:tcW w:w="2126" w:type="dxa"/>
            <w:shd w:val="clear" w:color="auto" w:fill="auto"/>
            <w:tcMar>
              <w:top w:w="10" w:type="dxa"/>
              <w:left w:w="10" w:type="dxa"/>
              <w:bottom w:w="0" w:type="dxa"/>
              <w:right w:w="10" w:type="dxa"/>
            </w:tcMar>
            <w:vAlign w:val="center"/>
          </w:tcPr>
          <w:p w14:paraId="6D829061"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20.9</w:t>
            </w:r>
          </w:p>
        </w:tc>
        <w:tc>
          <w:tcPr>
            <w:tcW w:w="2410" w:type="dxa"/>
            <w:shd w:val="clear" w:color="auto" w:fill="auto"/>
            <w:tcMar>
              <w:top w:w="10" w:type="dxa"/>
              <w:left w:w="10" w:type="dxa"/>
              <w:bottom w:w="0" w:type="dxa"/>
              <w:right w:w="10" w:type="dxa"/>
            </w:tcMar>
            <w:vAlign w:val="center"/>
          </w:tcPr>
          <w:p w14:paraId="44E9D3BF"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18.4</w:t>
            </w:r>
          </w:p>
        </w:tc>
      </w:tr>
      <w:tr w:rsidR="00CA6B32" w:rsidRPr="00BF7645" w14:paraId="2F264CAD" w14:textId="77777777" w:rsidTr="00B115E7">
        <w:trPr>
          <w:trHeight w:val="270"/>
          <w:jc w:val="center"/>
        </w:trPr>
        <w:tc>
          <w:tcPr>
            <w:tcW w:w="4952" w:type="dxa"/>
            <w:shd w:val="clear" w:color="auto" w:fill="auto"/>
            <w:tcMar>
              <w:top w:w="10" w:type="dxa"/>
              <w:left w:w="10" w:type="dxa"/>
              <w:bottom w:w="0" w:type="dxa"/>
              <w:right w:w="10" w:type="dxa"/>
            </w:tcMar>
            <w:vAlign w:val="center"/>
          </w:tcPr>
          <w:p w14:paraId="4A6323C7" w14:textId="77777777" w:rsidR="00BF7645" w:rsidRPr="00BF7645" w:rsidRDefault="00BF7645" w:rsidP="00277491">
            <w:pPr>
              <w:spacing w:before="120" w:after="120"/>
              <w:ind w:left="122" w:right="136"/>
              <w:rPr>
                <w:sz w:val="32"/>
                <w:szCs w:val="32"/>
              </w:rPr>
            </w:pPr>
            <w:r w:rsidRPr="00BF7645">
              <w:rPr>
                <w:sz w:val="32"/>
                <w:szCs w:val="32"/>
              </w:rPr>
              <w:t>Lesbian, Gay or Bisexual People</w:t>
            </w:r>
          </w:p>
        </w:tc>
        <w:tc>
          <w:tcPr>
            <w:tcW w:w="1984" w:type="dxa"/>
            <w:shd w:val="clear" w:color="auto" w:fill="auto"/>
            <w:tcMar>
              <w:top w:w="10" w:type="dxa"/>
              <w:left w:w="10" w:type="dxa"/>
              <w:bottom w:w="0" w:type="dxa"/>
              <w:right w:w="10" w:type="dxa"/>
            </w:tcMar>
            <w:vAlign w:val="center"/>
          </w:tcPr>
          <w:p w14:paraId="58605D49" w14:textId="77777777" w:rsidR="00BF7645" w:rsidRPr="00BF7645" w:rsidRDefault="00BF7645" w:rsidP="00277491">
            <w:pPr>
              <w:spacing w:before="120" w:after="120"/>
              <w:ind w:right="136"/>
              <w:jc w:val="right"/>
              <w:rPr>
                <w:color w:val="FF0000"/>
                <w:sz w:val="32"/>
                <w:szCs w:val="32"/>
              </w:rPr>
            </w:pPr>
            <w:r w:rsidRPr="00BF7645">
              <w:rPr>
                <w:color w:val="000000" w:themeColor="text1"/>
                <w:sz w:val="32"/>
                <w:szCs w:val="32"/>
              </w:rPr>
              <w:t>114</w:t>
            </w:r>
          </w:p>
        </w:tc>
        <w:tc>
          <w:tcPr>
            <w:tcW w:w="1985" w:type="dxa"/>
            <w:shd w:val="clear" w:color="auto" w:fill="auto"/>
            <w:tcMar>
              <w:top w:w="10" w:type="dxa"/>
              <w:left w:w="10" w:type="dxa"/>
              <w:bottom w:w="0" w:type="dxa"/>
              <w:right w:w="10" w:type="dxa"/>
            </w:tcMar>
            <w:vAlign w:val="center"/>
          </w:tcPr>
          <w:p w14:paraId="03E7AB1D" w14:textId="47B9B5F0" w:rsidR="00BF7645" w:rsidRPr="00BF7645" w:rsidRDefault="00D461B7" w:rsidP="00277491">
            <w:pPr>
              <w:spacing w:before="120" w:after="120"/>
              <w:ind w:right="136"/>
              <w:jc w:val="right"/>
              <w:rPr>
                <w:b/>
                <w:bCs/>
                <w:color w:val="FF0000"/>
                <w:sz w:val="32"/>
                <w:szCs w:val="32"/>
              </w:rPr>
            </w:pPr>
            <w:r>
              <w:rPr>
                <w:color w:val="000000" w:themeColor="text1"/>
                <w:sz w:val="32"/>
                <w:szCs w:val="32"/>
              </w:rPr>
              <w:t>£</w:t>
            </w:r>
            <w:r w:rsidR="00BF7645" w:rsidRPr="00BF7645">
              <w:rPr>
                <w:color w:val="000000" w:themeColor="text1"/>
                <w:sz w:val="32"/>
                <w:szCs w:val="32"/>
              </w:rPr>
              <w:t>3</w:t>
            </w:r>
            <w:r>
              <w:rPr>
                <w:color w:val="000000" w:themeColor="text1"/>
                <w:sz w:val="32"/>
                <w:szCs w:val="32"/>
              </w:rPr>
              <w:t>,</w:t>
            </w:r>
            <w:r w:rsidR="00BF7645" w:rsidRPr="00BF7645">
              <w:rPr>
                <w:color w:val="000000" w:themeColor="text1"/>
                <w:sz w:val="32"/>
                <w:szCs w:val="32"/>
              </w:rPr>
              <w:t>934</w:t>
            </w:r>
            <w:r>
              <w:rPr>
                <w:color w:val="000000" w:themeColor="text1"/>
                <w:sz w:val="32"/>
                <w:szCs w:val="32"/>
              </w:rPr>
              <w:t>,</w:t>
            </w:r>
            <w:r w:rsidR="00BF7645" w:rsidRPr="00BF7645">
              <w:rPr>
                <w:color w:val="000000" w:themeColor="text1"/>
                <w:sz w:val="32"/>
                <w:szCs w:val="32"/>
              </w:rPr>
              <w:t>881</w:t>
            </w:r>
          </w:p>
        </w:tc>
        <w:tc>
          <w:tcPr>
            <w:tcW w:w="2126" w:type="dxa"/>
            <w:shd w:val="clear" w:color="auto" w:fill="auto"/>
            <w:tcMar>
              <w:top w:w="10" w:type="dxa"/>
              <w:left w:w="10" w:type="dxa"/>
              <w:bottom w:w="0" w:type="dxa"/>
              <w:right w:w="10" w:type="dxa"/>
            </w:tcMar>
            <w:vAlign w:val="center"/>
          </w:tcPr>
          <w:p w14:paraId="699C3918" w14:textId="77777777" w:rsidR="00BF7645" w:rsidRPr="00D461B7" w:rsidRDefault="00BF7645" w:rsidP="00277491">
            <w:pPr>
              <w:spacing w:before="120" w:after="120"/>
              <w:ind w:right="136"/>
              <w:jc w:val="right"/>
              <w:rPr>
                <w:rFonts w:ascii="FS Me" w:hAnsi="FS Me"/>
                <w:b/>
                <w:bCs/>
                <w:color w:val="FF0000"/>
                <w:sz w:val="32"/>
                <w:szCs w:val="32"/>
              </w:rPr>
            </w:pPr>
            <w:r w:rsidRPr="00D461B7">
              <w:rPr>
                <w:rFonts w:ascii="FS Me" w:hAnsi="FS Me" w:cs="Calibri"/>
                <w:color w:val="000000" w:themeColor="text1"/>
                <w:sz w:val="32"/>
                <w:szCs w:val="32"/>
              </w:rPr>
              <w:t>22.7</w:t>
            </w:r>
          </w:p>
        </w:tc>
        <w:tc>
          <w:tcPr>
            <w:tcW w:w="2410" w:type="dxa"/>
            <w:shd w:val="clear" w:color="auto" w:fill="auto"/>
            <w:tcMar>
              <w:top w:w="10" w:type="dxa"/>
              <w:left w:w="10" w:type="dxa"/>
              <w:bottom w:w="0" w:type="dxa"/>
              <w:right w:w="10" w:type="dxa"/>
            </w:tcMar>
            <w:vAlign w:val="center"/>
          </w:tcPr>
          <w:p w14:paraId="29474B73" w14:textId="77777777" w:rsidR="00BF7645" w:rsidRPr="00D461B7" w:rsidRDefault="00BF7645" w:rsidP="00277491">
            <w:pPr>
              <w:spacing w:before="120" w:after="120"/>
              <w:ind w:right="136"/>
              <w:jc w:val="right"/>
              <w:rPr>
                <w:rFonts w:ascii="FS Me" w:hAnsi="FS Me"/>
                <w:color w:val="FF0000"/>
                <w:sz w:val="32"/>
                <w:szCs w:val="32"/>
              </w:rPr>
            </w:pPr>
            <w:r w:rsidRPr="00D461B7">
              <w:rPr>
                <w:rFonts w:ascii="FS Me" w:hAnsi="FS Me" w:cs="Calibri"/>
                <w:color w:val="000000" w:themeColor="text1"/>
                <w:sz w:val="32"/>
                <w:szCs w:val="32"/>
              </w:rPr>
              <w:t>25.7</w:t>
            </w:r>
          </w:p>
        </w:tc>
      </w:tr>
    </w:tbl>
    <w:p w14:paraId="6935BAE6" w14:textId="77777777" w:rsidR="000D3DE7" w:rsidRDefault="000D3DE7" w:rsidP="006A32DC">
      <w:pPr>
        <w:sectPr w:rsidR="000D3DE7" w:rsidSect="003D457A">
          <w:type w:val="continuous"/>
          <w:pgSz w:w="16838" w:h="11906" w:orient="landscape"/>
          <w:pgMar w:top="992" w:right="1440" w:bottom="992" w:left="851" w:header="709" w:footer="284" w:gutter="0"/>
          <w:cols w:space="708"/>
          <w:docGrid w:linePitch="490"/>
        </w:sectPr>
      </w:pPr>
    </w:p>
    <w:p w14:paraId="6F2D0A45" w14:textId="77777777" w:rsidR="006A32DC" w:rsidRDefault="006A32DC" w:rsidP="006A32DC">
      <w:r>
        <w:lastRenderedPageBreak/>
        <w:t xml:space="preserve">We continue to ask individuals to complete equality monitoring forms when applying for grants and the information received in 2022- 23 showed us that 53% of grants awarded went to individuals who identified as female and 38% to those who identified as male with a higher proportion than before identifying as </w:t>
      </w:r>
      <w:proofErr w:type="gramStart"/>
      <w:r>
        <w:t>Non-binary</w:t>
      </w:r>
      <w:proofErr w:type="gramEnd"/>
      <w:r>
        <w:t xml:space="preserve">. Interestingly, unlike the previous year the grant amount awarded to those identifying as female was on average £2,500 higher than those awarded to those who identified as male. </w:t>
      </w:r>
    </w:p>
    <w:p w14:paraId="67777DA0" w14:textId="77777777" w:rsidR="006A32DC" w:rsidRDefault="006A32DC" w:rsidP="006A32DC">
      <w:proofErr w:type="gramStart"/>
      <w:r>
        <w:t>The majority of</w:t>
      </w:r>
      <w:proofErr w:type="gramEnd"/>
      <w:r>
        <w:t xml:space="preserve"> grants awarded went to people aged between 26 and 49. There has however been an increase on the previous year with 17 grants awarded to people under 25 and 45 grants (a quarter of all grants) to people aged over 60. </w:t>
      </w:r>
    </w:p>
    <w:p w14:paraId="1666EE8A" w14:textId="7A10363A" w:rsidR="006A32DC" w:rsidRDefault="006A32DC" w:rsidP="006A32DC">
      <w:r>
        <w:t xml:space="preserve">19% of all awards were made to Culturally and Ethnically Diverse people, a five-percentage point increase when compared to 2021/22. On average, awards made to Culturally and Ethnically diverse people were £800 lower than awards made to those that identify as White. </w:t>
      </w:r>
    </w:p>
    <w:p w14:paraId="4D4FF261" w14:textId="77777777" w:rsidR="000D3DE7" w:rsidRDefault="006A32DC" w:rsidP="006A32DC">
      <w:pPr>
        <w:sectPr w:rsidR="000D3DE7" w:rsidSect="000D3DE7">
          <w:type w:val="continuous"/>
          <w:pgSz w:w="16838" w:h="11906" w:orient="landscape"/>
          <w:pgMar w:top="992" w:right="1440" w:bottom="992" w:left="1134" w:header="709" w:footer="284" w:gutter="0"/>
          <w:cols w:space="708"/>
          <w:docGrid w:linePitch="490"/>
        </w:sectPr>
      </w:pPr>
      <w:r>
        <w:lastRenderedPageBreak/>
        <w:t>A fifth of all grants awarded in 2022-23 went to D/deaf or disabled individuals. On average each grant to D/deaf or disabled individuals was around £1,400 higher (excluding access costs) than those who did not identify as D/deaf or disabled.</w:t>
      </w:r>
    </w:p>
    <w:tbl>
      <w:tblPr>
        <w:tblW w:w="147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6227"/>
        <w:gridCol w:w="2126"/>
        <w:gridCol w:w="2410"/>
        <w:gridCol w:w="1559"/>
        <w:gridCol w:w="2426"/>
      </w:tblGrid>
      <w:tr w:rsidR="001E574C" w:rsidRPr="00BE78EB" w14:paraId="16C3E357" w14:textId="77777777" w:rsidTr="003342BB">
        <w:trPr>
          <w:trHeight w:val="1309"/>
          <w:jc w:val="center"/>
        </w:trPr>
        <w:tc>
          <w:tcPr>
            <w:tcW w:w="6227" w:type="dxa"/>
            <w:shd w:val="clear" w:color="auto" w:fill="auto"/>
            <w:tcMar>
              <w:top w:w="10" w:type="dxa"/>
              <w:left w:w="10" w:type="dxa"/>
              <w:bottom w:w="0" w:type="dxa"/>
              <w:right w:w="10" w:type="dxa"/>
            </w:tcMar>
            <w:vAlign w:val="center"/>
          </w:tcPr>
          <w:p w14:paraId="54C50E69" w14:textId="77777777" w:rsidR="00BE78EB" w:rsidRPr="00BE78EB" w:rsidRDefault="00BE78EB" w:rsidP="00AA13FE">
            <w:pPr>
              <w:pStyle w:val="BodyText"/>
              <w:spacing w:before="120" w:after="120" w:line="360" w:lineRule="auto"/>
              <w:ind w:left="122"/>
              <w:rPr>
                <w:color w:val="auto"/>
                <w:sz w:val="32"/>
                <w:szCs w:val="32"/>
              </w:rPr>
            </w:pPr>
            <w:r w:rsidRPr="00BE78EB">
              <w:rPr>
                <w:color w:val="auto"/>
                <w:sz w:val="32"/>
                <w:szCs w:val="32"/>
              </w:rPr>
              <w:t> Protected Characteristic Group</w:t>
            </w:r>
          </w:p>
        </w:tc>
        <w:tc>
          <w:tcPr>
            <w:tcW w:w="2126" w:type="dxa"/>
            <w:shd w:val="clear" w:color="auto" w:fill="auto"/>
            <w:tcMar>
              <w:top w:w="10" w:type="dxa"/>
              <w:left w:w="10" w:type="dxa"/>
              <w:bottom w:w="0" w:type="dxa"/>
              <w:right w:w="10" w:type="dxa"/>
            </w:tcMar>
            <w:vAlign w:val="center"/>
          </w:tcPr>
          <w:p w14:paraId="26C6BB32" w14:textId="77777777" w:rsidR="00BE78EB" w:rsidRPr="00BE78EB" w:rsidRDefault="00BE78EB" w:rsidP="00AA13FE">
            <w:pPr>
              <w:pStyle w:val="BodyText"/>
              <w:spacing w:before="120" w:after="120" w:line="360" w:lineRule="auto"/>
              <w:ind w:right="130"/>
              <w:jc w:val="right"/>
              <w:rPr>
                <w:color w:val="auto"/>
                <w:sz w:val="32"/>
                <w:szCs w:val="32"/>
              </w:rPr>
            </w:pPr>
            <w:r w:rsidRPr="00BE78EB">
              <w:rPr>
                <w:color w:val="auto"/>
                <w:sz w:val="32"/>
                <w:szCs w:val="32"/>
              </w:rPr>
              <w:t>Number of Awards</w:t>
            </w:r>
          </w:p>
        </w:tc>
        <w:tc>
          <w:tcPr>
            <w:tcW w:w="2410" w:type="dxa"/>
            <w:shd w:val="clear" w:color="auto" w:fill="auto"/>
            <w:tcMar>
              <w:top w:w="10" w:type="dxa"/>
              <w:left w:w="10" w:type="dxa"/>
              <w:bottom w:w="0" w:type="dxa"/>
              <w:right w:w="10" w:type="dxa"/>
            </w:tcMar>
            <w:vAlign w:val="center"/>
          </w:tcPr>
          <w:p w14:paraId="310839F8" w14:textId="77777777" w:rsidR="00BE78EB" w:rsidRPr="00BE78EB" w:rsidRDefault="00BE78EB" w:rsidP="00AA13FE">
            <w:pPr>
              <w:pStyle w:val="BodyText"/>
              <w:spacing w:before="120" w:after="120" w:line="360" w:lineRule="auto"/>
              <w:ind w:right="130"/>
              <w:jc w:val="right"/>
              <w:rPr>
                <w:color w:val="auto"/>
                <w:sz w:val="32"/>
                <w:szCs w:val="32"/>
              </w:rPr>
            </w:pPr>
            <w:r w:rsidRPr="00BE78EB">
              <w:rPr>
                <w:color w:val="auto"/>
                <w:sz w:val="32"/>
                <w:szCs w:val="32"/>
              </w:rPr>
              <w:t>Total Value of Grant</w:t>
            </w:r>
          </w:p>
        </w:tc>
        <w:tc>
          <w:tcPr>
            <w:tcW w:w="1559" w:type="dxa"/>
            <w:shd w:val="clear" w:color="auto" w:fill="auto"/>
            <w:tcMar>
              <w:top w:w="10" w:type="dxa"/>
              <w:left w:w="10" w:type="dxa"/>
              <w:bottom w:w="0" w:type="dxa"/>
              <w:right w:w="10" w:type="dxa"/>
            </w:tcMar>
            <w:vAlign w:val="center"/>
          </w:tcPr>
          <w:p w14:paraId="23A4998A" w14:textId="77777777" w:rsidR="00BE78EB" w:rsidRPr="00BE78EB" w:rsidRDefault="00BE78EB" w:rsidP="00AA13FE">
            <w:pPr>
              <w:pStyle w:val="BodyText"/>
              <w:spacing w:before="120" w:after="120" w:line="360" w:lineRule="auto"/>
              <w:ind w:right="130"/>
              <w:jc w:val="right"/>
              <w:rPr>
                <w:color w:val="auto"/>
                <w:sz w:val="32"/>
                <w:szCs w:val="32"/>
              </w:rPr>
            </w:pPr>
            <w:r w:rsidRPr="00BE78EB">
              <w:rPr>
                <w:b/>
                <w:bCs/>
                <w:color w:val="auto"/>
                <w:sz w:val="32"/>
                <w:szCs w:val="32"/>
              </w:rPr>
              <w:t>% of all awards</w:t>
            </w:r>
          </w:p>
        </w:tc>
        <w:tc>
          <w:tcPr>
            <w:tcW w:w="2426" w:type="dxa"/>
            <w:shd w:val="clear" w:color="auto" w:fill="auto"/>
            <w:tcMar>
              <w:top w:w="10" w:type="dxa"/>
              <w:left w:w="10" w:type="dxa"/>
              <w:bottom w:w="0" w:type="dxa"/>
              <w:right w:w="10" w:type="dxa"/>
            </w:tcMar>
            <w:vAlign w:val="center"/>
          </w:tcPr>
          <w:p w14:paraId="7CA310AE" w14:textId="77777777" w:rsidR="00BE78EB" w:rsidRPr="00BE78EB" w:rsidRDefault="00BE78EB" w:rsidP="00AA13FE">
            <w:pPr>
              <w:pStyle w:val="BodyText"/>
              <w:spacing w:before="120" w:after="120" w:line="360" w:lineRule="auto"/>
              <w:ind w:right="130"/>
              <w:jc w:val="right"/>
              <w:rPr>
                <w:color w:val="auto"/>
                <w:sz w:val="32"/>
                <w:szCs w:val="32"/>
              </w:rPr>
            </w:pPr>
            <w:r w:rsidRPr="00BE78EB">
              <w:rPr>
                <w:color w:val="auto"/>
                <w:sz w:val="32"/>
                <w:szCs w:val="32"/>
              </w:rPr>
              <w:t>% value of all awards</w:t>
            </w:r>
          </w:p>
        </w:tc>
      </w:tr>
      <w:tr w:rsidR="001E574C" w:rsidRPr="00BE78EB" w14:paraId="481CC3A9" w14:textId="77777777" w:rsidTr="003342BB">
        <w:trPr>
          <w:trHeight w:val="279"/>
          <w:jc w:val="center"/>
        </w:trPr>
        <w:tc>
          <w:tcPr>
            <w:tcW w:w="6227" w:type="dxa"/>
            <w:shd w:val="clear" w:color="auto" w:fill="auto"/>
            <w:tcMar>
              <w:top w:w="10" w:type="dxa"/>
              <w:left w:w="10" w:type="dxa"/>
              <w:bottom w:w="0" w:type="dxa"/>
              <w:right w:w="10" w:type="dxa"/>
            </w:tcMar>
            <w:vAlign w:val="center"/>
          </w:tcPr>
          <w:p w14:paraId="73F54B75"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 xml:space="preserve">Culturally and Ethnically Diverse people </w:t>
            </w:r>
          </w:p>
        </w:tc>
        <w:tc>
          <w:tcPr>
            <w:tcW w:w="2126" w:type="dxa"/>
            <w:shd w:val="clear" w:color="auto" w:fill="auto"/>
            <w:tcMar>
              <w:top w:w="10" w:type="dxa"/>
              <w:left w:w="10" w:type="dxa"/>
              <w:bottom w:w="0" w:type="dxa"/>
              <w:right w:w="10" w:type="dxa"/>
            </w:tcMar>
            <w:vAlign w:val="center"/>
          </w:tcPr>
          <w:p w14:paraId="245CB2F4"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34</w:t>
            </w:r>
          </w:p>
        </w:tc>
        <w:tc>
          <w:tcPr>
            <w:tcW w:w="2410" w:type="dxa"/>
            <w:shd w:val="clear" w:color="auto" w:fill="auto"/>
            <w:tcMar>
              <w:top w:w="10" w:type="dxa"/>
              <w:left w:w="10" w:type="dxa"/>
              <w:bottom w:w="0" w:type="dxa"/>
              <w:right w:w="10" w:type="dxa"/>
            </w:tcMar>
            <w:vAlign w:val="center"/>
          </w:tcPr>
          <w:p w14:paraId="134A0067"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£382,568</w:t>
            </w:r>
          </w:p>
        </w:tc>
        <w:tc>
          <w:tcPr>
            <w:tcW w:w="1559" w:type="dxa"/>
            <w:shd w:val="clear" w:color="auto" w:fill="auto"/>
            <w:tcMar>
              <w:top w:w="10" w:type="dxa"/>
              <w:left w:w="10" w:type="dxa"/>
              <w:bottom w:w="0" w:type="dxa"/>
              <w:right w:w="10" w:type="dxa"/>
            </w:tcMar>
            <w:vAlign w:val="center"/>
          </w:tcPr>
          <w:p w14:paraId="18FE2704"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18.9</w:t>
            </w:r>
          </w:p>
        </w:tc>
        <w:tc>
          <w:tcPr>
            <w:tcW w:w="2426" w:type="dxa"/>
            <w:shd w:val="clear" w:color="auto" w:fill="auto"/>
            <w:tcMar>
              <w:top w:w="10" w:type="dxa"/>
              <w:left w:w="10" w:type="dxa"/>
              <w:bottom w:w="0" w:type="dxa"/>
              <w:right w:w="10" w:type="dxa"/>
            </w:tcMar>
            <w:vAlign w:val="center"/>
          </w:tcPr>
          <w:p w14:paraId="692B95C0"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18.0</w:t>
            </w:r>
          </w:p>
        </w:tc>
      </w:tr>
      <w:tr w:rsidR="001E574C" w:rsidRPr="00BE78EB" w14:paraId="1A28B738" w14:textId="77777777" w:rsidTr="003342BB">
        <w:trPr>
          <w:trHeight w:val="270"/>
          <w:jc w:val="center"/>
        </w:trPr>
        <w:tc>
          <w:tcPr>
            <w:tcW w:w="6227" w:type="dxa"/>
            <w:shd w:val="clear" w:color="auto" w:fill="auto"/>
            <w:tcMar>
              <w:top w:w="10" w:type="dxa"/>
              <w:left w:w="10" w:type="dxa"/>
              <w:bottom w:w="0" w:type="dxa"/>
              <w:right w:w="10" w:type="dxa"/>
            </w:tcMar>
            <w:vAlign w:val="center"/>
          </w:tcPr>
          <w:p w14:paraId="128B0D3A"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 xml:space="preserve">Young people </w:t>
            </w:r>
          </w:p>
        </w:tc>
        <w:tc>
          <w:tcPr>
            <w:tcW w:w="2126" w:type="dxa"/>
            <w:shd w:val="clear" w:color="auto" w:fill="auto"/>
            <w:tcMar>
              <w:top w:w="10" w:type="dxa"/>
              <w:left w:w="10" w:type="dxa"/>
              <w:bottom w:w="0" w:type="dxa"/>
              <w:right w:w="10" w:type="dxa"/>
            </w:tcMar>
            <w:vAlign w:val="center"/>
          </w:tcPr>
          <w:p w14:paraId="7B8733F2"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17</w:t>
            </w:r>
          </w:p>
        </w:tc>
        <w:tc>
          <w:tcPr>
            <w:tcW w:w="2410" w:type="dxa"/>
            <w:shd w:val="clear" w:color="auto" w:fill="auto"/>
            <w:tcMar>
              <w:top w:w="10" w:type="dxa"/>
              <w:left w:w="10" w:type="dxa"/>
              <w:bottom w:w="0" w:type="dxa"/>
              <w:right w:w="10" w:type="dxa"/>
            </w:tcMar>
            <w:vAlign w:val="center"/>
          </w:tcPr>
          <w:p w14:paraId="0CE0CEDE"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£120,327</w:t>
            </w:r>
          </w:p>
        </w:tc>
        <w:tc>
          <w:tcPr>
            <w:tcW w:w="1559" w:type="dxa"/>
            <w:shd w:val="clear" w:color="auto" w:fill="auto"/>
            <w:tcMar>
              <w:top w:w="10" w:type="dxa"/>
              <w:left w:w="10" w:type="dxa"/>
              <w:bottom w:w="0" w:type="dxa"/>
              <w:right w:w="10" w:type="dxa"/>
            </w:tcMar>
            <w:vAlign w:val="center"/>
          </w:tcPr>
          <w:p w14:paraId="276CC92E"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9.4</w:t>
            </w:r>
          </w:p>
        </w:tc>
        <w:tc>
          <w:tcPr>
            <w:tcW w:w="2426" w:type="dxa"/>
            <w:shd w:val="clear" w:color="auto" w:fill="auto"/>
            <w:tcMar>
              <w:top w:w="10" w:type="dxa"/>
              <w:left w:w="10" w:type="dxa"/>
              <w:bottom w:w="0" w:type="dxa"/>
              <w:right w:w="10" w:type="dxa"/>
            </w:tcMar>
            <w:vAlign w:val="center"/>
          </w:tcPr>
          <w:p w14:paraId="136EBBD6"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5.7</w:t>
            </w:r>
          </w:p>
        </w:tc>
      </w:tr>
      <w:tr w:rsidR="001E574C" w:rsidRPr="00BE78EB" w14:paraId="489027E4" w14:textId="77777777" w:rsidTr="003342BB">
        <w:trPr>
          <w:trHeight w:val="270"/>
          <w:jc w:val="center"/>
        </w:trPr>
        <w:tc>
          <w:tcPr>
            <w:tcW w:w="6227" w:type="dxa"/>
            <w:shd w:val="clear" w:color="auto" w:fill="auto"/>
            <w:tcMar>
              <w:top w:w="10" w:type="dxa"/>
              <w:left w:w="10" w:type="dxa"/>
              <w:bottom w:w="0" w:type="dxa"/>
              <w:right w:w="10" w:type="dxa"/>
            </w:tcMar>
            <w:vAlign w:val="center"/>
          </w:tcPr>
          <w:p w14:paraId="270994D8"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 xml:space="preserve">Older people </w:t>
            </w:r>
          </w:p>
        </w:tc>
        <w:tc>
          <w:tcPr>
            <w:tcW w:w="2126" w:type="dxa"/>
            <w:shd w:val="clear" w:color="auto" w:fill="auto"/>
            <w:tcMar>
              <w:top w:w="10" w:type="dxa"/>
              <w:left w:w="10" w:type="dxa"/>
              <w:bottom w:w="0" w:type="dxa"/>
              <w:right w:w="10" w:type="dxa"/>
            </w:tcMar>
            <w:vAlign w:val="center"/>
          </w:tcPr>
          <w:p w14:paraId="359FF078"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45</w:t>
            </w:r>
          </w:p>
        </w:tc>
        <w:tc>
          <w:tcPr>
            <w:tcW w:w="2410" w:type="dxa"/>
            <w:shd w:val="clear" w:color="auto" w:fill="auto"/>
            <w:tcMar>
              <w:top w:w="10" w:type="dxa"/>
              <w:left w:w="10" w:type="dxa"/>
              <w:bottom w:w="0" w:type="dxa"/>
              <w:right w:w="10" w:type="dxa"/>
            </w:tcMar>
            <w:vAlign w:val="center"/>
          </w:tcPr>
          <w:p w14:paraId="53D908CE"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£484,821</w:t>
            </w:r>
          </w:p>
        </w:tc>
        <w:tc>
          <w:tcPr>
            <w:tcW w:w="1559" w:type="dxa"/>
            <w:shd w:val="clear" w:color="auto" w:fill="auto"/>
            <w:tcMar>
              <w:top w:w="10" w:type="dxa"/>
              <w:left w:w="10" w:type="dxa"/>
              <w:bottom w:w="0" w:type="dxa"/>
              <w:right w:w="10" w:type="dxa"/>
            </w:tcMar>
            <w:vAlign w:val="center"/>
          </w:tcPr>
          <w:p w14:paraId="48339F2D"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25.0</w:t>
            </w:r>
          </w:p>
        </w:tc>
        <w:tc>
          <w:tcPr>
            <w:tcW w:w="2426" w:type="dxa"/>
            <w:shd w:val="clear" w:color="auto" w:fill="auto"/>
            <w:tcMar>
              <w:top w:w="10" w:type="dxa"/>
              <w:left w:w="10" w:type="dxa"/>
              <w:bottom w:w="0" w:type="dxa"/>
              <w:right w:w="10" w:type="dxa"/>
            </w:tcMar>
            <w:vAlign w:val="center"/>
          </w:tcPr>
          <w:p w14:paraId="7F6E611A"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22.9</w:t>
            </w:r>
          </w:p>
        </w:tc>
      </w:tr>
      <w:tr w:rsidR="001E574C" w:rsidRPr="00BE78EB" w14:paraId="04A48212" w14:textId="77777777" w:rsidTr="003342BB">
        <w:trPr>
          <w:trHeight w:val="270"/>
          <w:jc w:val="center"/>
        </w:trPr>
        <w:tc>
          <w:tcPr>
            <w:tcW w:w="6227" w:type="dxa"/>
            <w:shd w:val="clear" w:color="auto" w:fill="auto"/>
            <w:tcMar>
              <w:top w:w="10" w:type="dxa"/>
              <w:left w:w="10" w:type="dxa"/>
              <w:bottom w:w="0" w:type="dxa"/>
              <w:right w:w="10" w:type="dxa"/>
            </w:tcMar>
            <w:vAlign w:val="center"/>
          </w:tcPr>
          <w:p w14:paraId="5D5742FF"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D/deaf or disabled people</w:t>
            </w:r>
          </w:p>
        </w:tc>
        <w:tc>
          <w:tcPr>
            <w:tcW w:w="2126" w:type="dxa"/>
            <w:shd w:val="clear" w:color="auto" w:fill="auto"/>
            <w:tcMar>
              <w:top w:w="10" w:type="dxa"/>
              <w:left w:w="10" w:type="dxa"/>
              <w:bottom w:w="0" w:type="dxa"/>
              <w:right w:w="10" w:type="dxa"/>
            </w:tcMar>
            <w:vAlign w:val="center"/>
          </w:tcPr>
          <w:p w14:paraId="77B2236C"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41</w:t>
            </w:r>
          </w:p>
        </w:tc>
        <w:tc>
          <w:tcPr>
            <w:tcW w:w="2410" w:type="dxa"/>
            <w:shd w:val="clear" w:color="auto" w:fill="auto"/>
            <w:tcMar>
              <w:top w:w="10" w:type="dxa"/>
              <w:left w:w="10" w:type="dxa"/>
              <w:bottom w:w="0" w:type="dxa"/>
              <w:right w:w="10" w:type="dxa"/>
            </w:tcMar>
            <w:vAlign w:val="center"/>
          </w:tcPr>
          <w:p w14:paraId="0805F0EE"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£562,320</w:t>
            </w:r>
          </w:p>
        </w:tc>
        <w:tc>
          <w:tcPr>
            <w:tcW w:w="1559" w:type="dxa"/>
            <w:shd w:val="clear" w:color="auto" w:fill="auto"/>
            <w:tcMar>
              <w:top w:w="10" w:type="dxa"/>
              <w:left w:w="10" w:type="dxa"/>
              <w:bottom w:w="0" w:type="dxa"/>
              <w:right w:w="10" w:type="dxa"/>
            </w:tcMar>
            <w:vAlign w:val="center"/>
          </w:tcPr>
          <w:p w14:paraId="66F89654"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22.8</w:t>
            </w:r>
          </w:p>
        </w:tc>
        <w:tc>
          <w:tcPr>
            <w:tcW w:w="2426" w:type="dxa"/>
            <w:shd w:val="clear" w:color="auto" w:fill="auto"/>
            <w:tcMar>
              <w:top w:w="10" w:type="dxa"/>
              <w:left w:w="10" w:type="dxa"/>
              <w:bottom w:w="0" w:type="dxa"/>
              <w:right w:w="10" w:type="dxa"/>
            </w:tcMar>
            <w:vAlign w:val="center"/>
          </w:tcPr>
          <w:p w14:paraId="69ABF35F"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26.5</w:t>
            </w:r>
          </w:p>
        </w:tc>
      </w:tr>
      <w:tr w:rsidR="001E574C" w:rsidRPr="00BE78EB" w14:paraId="793311B7" w14:textId="77777777" w:rsidTr="003342BB">
        <w:trPr>
          <w:trHeight w:val="270"/>
          <w:jc w:val="center"/>
        </w:trPr>
        <w:tc>
          <w:tcPr>
            <w:tcW w:w="6227" w:type="dxa"/>
            <w:shd w:val="clear" w:color="auto" w:fill="auto"/>
            <w:tcMar>
              <w:top w:w="10" w:type="dxa"/>
              <w:left w:w="10" w:type="dxa"/>
              <w:bottom w:w="0" w:type="dxa"/>
              <w:right w:w="10" w:type="dxa"/>
            </w:tcMar>
            <w:vAlign w:val="center"/>
          </w:tcPr>
          <w:p w14:paraId="361E9800"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Male</w:t>
            </w:r>
          </w:p>
        </w:tc>
        <w:tc>
          <w:tcPr>
            <w:tcW w:w="2126" w:type="dxa"/>
            <w:shd w:val="clear" w:color="auto" w:fill="auto"/>
            <w:tcMar>
              <w:top w:w="10" w:type="dxa"/>
              <w:left w:w="10" w:type="dxa"/>
              <w:bottom w:w="0" w:type="dxa"/>
              <w:right w:w="10" w:type="dxa"/>
            </w:tcMar>
            <w:vAlign w:val="center"/>
          </w:tcPr>
          <w:p w14:paraId="4EB9F8F6"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68</w:t>
            </w:r>
          </w:p>
        </w:tc>
        <w:tc>
          <w:tcPr>
            <w:tcW w:w="2410" w:type="dxa"/>
            <w:shd w:val="clear" w:color="auto" w:fill="auto"/>
            <w:tcMar>
              <w:top w:w="10" w:type="dxa"/>
              <w:left w:w="10" w:type="dxa"/>
              <w:bottom w:w="0" w:type="dxa"/>
              <w:right w:w="10" w:type="dxa"/>
            </w:tcMar>
            <w:vAlign w:val="center"/>
          </w:tcPr>
          <w:p w14:paraId="4F90E1B6"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£683,903</w:t>
            </w:r>
          </w:p>
        </w:tc>
        <w:tc>
          <w:tcPr>
            <w:tcW w:w="1559" w:type="dxa"/>
            <w:shd w:val="clear" w:color="auto" w:fill="auto"/>
            <w:tcMar>
              <w:top w:w="10" w:type="dxa"/>
              <w:left w:w="10" w:type="dxa"/>
              <w:bottom w:w="0" w:type="dxa"/>
              <w:right w:w="10" w:type="dxa"/>
            </w:tcMar>
            <w:vAlign w:val="center"/>
          </w:tcPr>
          <w:p w14:paraId="042FF5FC"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37.8</w:t>
            </w:r>
          </w:p>
        </w:tc>
        <w:tc>
          <w:tcPr>
            <w:tcW w:w="2426" w:type="dxa"/>
            <w:shd w:val="clear" w:color="auto" w:fill="auto"/>
            <w:tcMar>
              <w:top w:w="10" w:type="dxa"/>
              <w:left w:w="10" w:type="dxa"/>
              <w:bottom w:w="0" w:type="dxa"/>
              <w:right w:w="10" w:type="dxa"/>
            </w:tcMar>
            <w:vAlign w:val="center"/>
          </w:tcPr>
          <w:p w14:paraId="3EFC897B"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32.3</w:t>
            </w:r>
          </w:p>
        </w:tc>
      </w:tr>
      <w:tr w:rsidR="001E574C" w:rsidRPr="00BE78EB" w14:paraId="4535F1B8" w14:textId="77777777" w:rsidTr="003342BB">
        <w:trPr>
          <w:trHeight w:val="270"/>
          <w:jc w:val="center"/>
        </w:trPr>
        <w:tc>
          <w:tcPr>
            <w:tcW w:w="6227" w:type="dxa"/>
            <w:shd w:val="clear" w:color="auto" w:fill="auto"/>
            <w:tcMar>
              <w:top w:w="10" w:type="dxa"/>
              <w:left w:w="10" w:type="dxa"/>
              <w:bottom w:w="0" w:type="dxa"/>
              <w:right w:w="10" w:type="dxa"/>
            </w:tcMar>
            <w:vAlign w:val="center"/>
          </w:tcPr>
          <w:p w14:paraId="373B981C"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Female</w:t>
            </w:r>
          </w:p>
        </w:tc>
        <w:tc>
          <w:tcPr>
            <w:tcW w:w="2126" w:type="dxa"/>
            <w:shd w:val="clear" w:color="auto" w:fill="auto"/>
            <w:tcMar>
              <w:top w:w="10" w:type="dxa"/>
              <w:left w:w="10" w:type="dxa"/>
              <w:bottom w:w="0" w:type="dxa"/>
              <w:right w:w="10" w:type="dxa"/>
            </w:tcMar>
            <w:vAlign w:val="center"/>
          </w:tcPr>
          <w:p w14:paraId="0447431E"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95</w:t>
            </w:r>
          </w:p>
        </w:tc>
        <w:tc>
          <w:tcPr>
            <w:tcW w:w="2410" w:type="dxa"/>
            <w:shd w:val="clear" w:color="auto" w:fill="auto"/>
            <w:tcMar>
              <w:top w:w="10" w:type="dxa"/>
              <w:left w:w="10" w:type="dxa"/>
              <w:bottom w:w="0" w:type="dxa"/>
              <w:right w:w="10" w:type="dxa"/>
            </w:tcMar>
            <w:vAlign w:val="center"/>
          </w:tcPr>
          <w:p w14:paraId="3CE67A50"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£1,241,014</w:t>
            </w:r>
          </w:p>
        </w:tc>
        <w:tc>
          <w:tcPr>
            <w:tcW w:w="1559" w:type="dxa"/>
            <w:shd w:val="clear" w:color="auto" w:fill="auto"/>
            <w:tcMar>
              <w:top w:w="10" w:type="dxa"/>
              <w:left w:w="10" w:type="dxa"/>
              <w:bottom w:w="0" w:type="dxa"/>
              <w:right w:w="10" w:type="dxa"/>
            </w:tcMar>
            <w:vAlign w:val="center"/>
          </w:tcPr>
          <w:p w14:paraId="70EF338A"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52.8</w:t>
            </w:r>
          </w:p>
        </w:tc>
        <w:tc>
          <w:tcPr>
            <w:tcW w:w="2426" w:type="dxa"/>
            <w:shd w:val="clear" w:color="auto" w:fill="auto"/>
            <w:tcMar>
              <w:top w:w="10" w:type="dxa"/>
              <w:left w:w="10" w:type="dxa"/>
              <w:bottom w:w="0" w:type="dxa"/>
              <w:right w:w="10" w:type="dxa"/>
            </w:tcMar>
            <w:vAlign w:val="center"/>
          </w:tcPr>
          <w:p w14:paraId="2399253A"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58.5</w:t>
            </w:r>
          </w:p>
        </w:tc>
      </w:tr>
      <w:tr w:rsidR="001E574C" w:rsidRPr="00BE78EB" w14:paraId="73CCDCFE" w14:textId="77777777" w:rsidTr="003342BB">
        <w:trPr>
          <w:trHeight w:val="270"/>
          <w:jc w:val="center"/>
        </w:trPr>
        <w:tc>
          <w:tcPr>
            <w:tcW w:w="6227" w:type="dxa"/>
            <w:shd w:val="clear" w:color="auto" w:fill="auto"/>
            <w:tcMar>
              <w:top w:w="10" w:type="dxa"/>
              <w:left w:w="10" w:type="dxa"/>
              <w:bottom w:w="0" w:type="dxa"/>
              <w:right w:w="10" w:type="dxa"/>
            </w:tcMar>
            <w:vAlign w:val="center"/>
          </w:tcPr>
          <w:p w14:paraId="4186FCE8" w14:textId="77777777" w:rsidR="00BE78EB" w:rsidRPr="00BE78EB" w:rsidRDefault="00BE78EB" w:rsidP="007B2F29">
            <w:pPr>
              <w:pStyle w:val="BodyText"/>
              <w:spacing w:before="240" w:after="0" w:line="360" w:lineRule="auto"/>
              <w:ind w:left="122"/>
              <w:rPr>
                <w:color w:val="auto"/>
                <w:sz w:val="32"/>
                <w:szCs w:val="32"/>
              </w:rPr>
            </w:pPr>
            <w:r w:rsidRPr="00BE78EB">
              <w:rPr>
                <w:color w:val="000000" w:themeColor="text1"/>
                <w:sz w:val="32"/>
                <w:szCs w:val="32"/>
              </w:rPr>
              <w:t>Lesbian, Gay or Bisexual people</w:t>
            </w:r>
          </w:p>
        </w:tc>
        <w:tc>
          <w:tcPr>
            <w:tcW w:w="2126" w:type="dxa"/>
            <w:shd w:val="clear" w:color="auto" w:fill="auto"/>
            <w:tcMar>
              <w:top w:w="10" w:type="dxa"/>
              <w:left w:w="10" w:type="dxa"/>
              <w:bottom w:w="0" w:type="dxa"/>
              <w:right w:w="10" w:type="dxa"/>
            </w:tcMar>
            <w:vAlign w:val="center"/>
          </w:tcPr>
          <w:p w14:paraId="72A11AAF"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38</w:t>
            </w:r>
          </w:p>
        </w:tc>
        <w:tc>
          <w:tcPr>
            <w:tcW w:w="2410" w:type="dxa"/>
            <w:shd w:val="clear" w:color="auto" w:fill="auto"/>
            <w:tcMar>
              <w:top w:w="10" w:type="dxa"/>
              <w:left w:w="10" w:type="dxa"/>
              <w:bottom w:w="0" w:type="dxa"/>
              <w:right w:w="10" w:type="dxa"/>
            </w:tcMar>
            <w:vAlign w:val="center"/>
          </w:tcPr>
          <w:p w14:paraId="29899394"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£495,434</w:t>
            </w:r>
          </w:p>
        </w:tc>
        <w:tc>
          <w:tcPr>
            <w:tcW w:w="1559" w:type="dxa"/>
            <w:shd w:val="clear" w:color="auto" w:fill="auto"/>
            <w:tcMar>
              <w:top w:w="10" w:type="dxa"/>
              <w:left w:w="10" w:type="dxa"/>
              <w:bottom w:w="0" w:type="dxa"/>
              <w:right w:w="10" w:type="dxa"/>
            </w:tcMar>
            <w:vAlign w:val="center"/>
          </w:tcPr>
          <w:p w14:paraId="1DEF4CBD"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21.1</w:t>
            </w:r>
          </w:p>
        </w:tc>
        <w:tc>
          <w:tcPr>
            <w:tcW w:w="2426" w:type="dxa"/>
            <w:shd w:val="clear" w:color="auto" w:fill="auto"/>
            <w:tcMar>
              <w:top w:w="10" w:type="dxa"/>
              <w:left w:w="10" w:type="dxa"/>
              <w:bottom w:w="0" w:type="dxa"/>
              <w:right w:w="10" w:type="dxa"/>
            </w:tcMar>
            <w:vAlign w:val="center"/>
          </w:tcPr>
          <w:p w14:paraId="005FBC71" w14:textId="77777777" w:rsidR="00BE78EB" w:rsidRPr="00BE78EB" w:rsidRDefault="00BE78EB" w:rsidP="007B2F29">
            <w:pPr>
              <w:pStyle w:val="BodyText"/>
              <w:spacing w:before="240" w:after="0" w:line="360" w:lineRule="auto"/>
              <w:ind w:right="130"/>
              <w:jc w:val="right"/>
              <w:rPr>
                <w:color w:val="auto"/>
                <w:sz w:val="32"/>
                <w:szCs w:val="32"/>
              </w:rPr>
            </w:pPr>
            <w:r w:rsidRPr="00BE78EB">
              <w:rPr>
                <w:color w:val="000000" w:themeColor="text1"/>
                <w:sz w:val="32"/>
                <w:szCs w:val="32"/>
              </w:rPr>
              <w:t>23.4</w:t>
            </w:r>
          </w:p>
        </w:tc>
      </w:tr>
    </w:tbl>
    <w:p w14:paraId="52EDB036" w14:textId="77777777" w:rsidR="000D3DE7" w:rsidRDefault="000D3DE7" w:rsidP="006A32DC">
      <w:pPr>
        <w:sectPr w:rsidR="000D3DE7" w:rsidSect="003D457A">
          <w:type w:val="continuous"/>
          <w:pgSz w:w="16838" w:h="11906" w:orient="landscape"/>
          <w:pgMar w:top="992" w:right="1440" w:bottom="992" w:left="851" w:header="709" w:footer="284" w:gutter="0"/>
          <w:cols w:space="708"/>
          <w:docGrid w:linePitch="490"/>
        </w:sectPr>
      </w:pPr>
    </w:p>
    <w:p w14:paraId="629026CB" w14:textId="1ABB32B5" w:rsidR="00E60095" w:rsidRDefault="00FA3983" w:rsidP="000D3DE7">
      <w:r w:rsidRPr="00FA3983">
        <w:lastRenderedPageBreak/>
        <w:t xml:space="preserve">We also asked organisations applying for Lottery funding to complete an equality monitoring form in relation to the </w:t>
      </w:r>
      <w:proofErr w:type="spellStart"/>
      <w:r w:rsidRPr="00FA3983">
        <w:t>make up</w:t>
      </w:r>
      <w:proofErr w:type="spellEnd"/>
      <w:r w:rsidRPr="00FA3983">
        <w:t xml:space="preserve"> of their boards of management. 30 awards were made to organisations that are led by culturally and ethnically diverse people (25 awards in 2021/22) and 44 awards were made to organisations that are led by D/deaf or disabled people (27 awards in 2021/22). This indicates an increasingly more diverse boards of management across the sector, </w:t>
      </w:r>
      <w:proofErr w:type="gramStart"/>
      <w:r w:rsidRPr="00FA3983">
        <w:t>similar to</w:t>
      </w:r>
      <w:proofErr w:type="gramEnd"/>
      <w:r w:rsidRPr="00FA3983">
        <w:t xml:space="preserve"> the Boards of Arts Portfolio Wales organisations.</w:t>
      </w:r>
    </w:p>
    <w:p w14:paraId="038DF22B" w14:textId="77777777" w:rsidR="000D3DE7" w:rsidRDefault="00E60095">
      <w:pPr>
        <w:spacing w:before="0" w:after="160" w:line="259" w:lineRule="auto"/>
        <w:sectPr w:rsidR="000D3DE7" w:rsidSect="000D3DE7">
          <w:type w:val="continuous"/>
          <w:pgSz w:w="16838" w:h="11906" w:orient="landscape"/>
          <w:pgMar w:top="1985" w:right="1440" w:bottom="992" w:left="1276" w:header="709" w:footer="284" w:gutter="0"/>
          <w:cols w:space="708"/>
          <w:docGrid w:linePitch="490"/>
        </w:sectPr>
      </w:pPr>
      <w:r>
        <w:br w:type="page"/>
      </w:r>
    </w:p>
    <w:p w14:paraId="1A9519B4" w14:textId="77777777" w:rsidR="00E60095" w:rsidRDefault="00E60095">
      <w:pPr>
        <w:spacing w:before="0" w:after="160" w:line="259" w:lineRule="auto"/>
      </w:pPr>
    </w:p>
    <w:tbl>
      <w:tblPr>
        <w:tblW w:w="13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5235"/>
        <w:gridCol w:w="2126"/>
        <w:gridCol w:w="2268"/>
        <w:gridCol w:w="1559"/>
        <w:gridCol w:w="2127"/>
      </w:tblGrid>
      <w:tr w:rsidR="00634F9F" w:rsidRPr="00634F9F" w14:paraId="21C2051D" w14:textId="77777777" w:rsidTr="00E60095">
        <w:trPr>
          <w:trHeight w:val="1309"/>
          <w:jc w:val="center"/>
        </w:trPr>
        <w:tc>
          <w:tcPr>
            <w:tcW w:w="5235" w:type="dxa"/>
            <w:shd w:val="clear" w:color="auto" w:fill="auto"/>
            <w:tcMar>
              <w:top w:w="10" w:type="dxa"/>
              <w:left w:w="10" w:type="dxa"/>
              <w:bottom w:w="0" w:type="dxa"/>
              <w:right w:w="10" w:type="dxa"/>
            </w:tcMar>
            <w:vAlign w:val="center"/>
          </w:tcPr>
          <w:p w14:paraId="55ABD2D4" w14:textId="77777777" w:rsidR="00634F9F" w:rsidRPr="00634F9F" w:rsidRDefault="00634F9F" w:rsidP="006A57E5">
            <w:pPr>
              <w:pStyle w:val="BodyText"/>
              <w:spacing w:before="120" w:after="120"/>
              <w:ind w:left="122"/>
              <w:rPr>
                <w:color w:val="auto"/>
                <w:sz w:val="32"/>
                <w:szCs w:val="32"/>
              </w:rPr>
            </w:pPr>
            <w:r w:rsidRPr="00634F9F">
              <w:rPr>
                <w:color w:val="auto"/>
                <w:sz w:val="32"/>
                <w:szCs w:val="32"/>
              </w:rPr>
              <w:t> Protected Characteristic Group</w:t>
            </w:r>
          </w:p>
        </w:tc>
        <w:tc>
          <w:tcPr>
            <w:tcW w:w="2126" w:type="dxa"/>
            <w:shd w:val="clear" w:color="auto" w:fill="auto"/>
            <w:tcMar>
              <w:top w:w="10" w:type="dxa"/>
              <w:left w:w="10" w:type="dxa"/>
              <w:bottom w:w="0" w:type="dxa"/>
              <w:right w:w="10" w:type="dxa"/>
            </w:tcMar>
            <w:vAlign w:val="center"/>
          </w:tcPr>
          <w:p w14:paraId="3BC3F55E" w14:textId="77777777" w:rsidR="00634F9F" w:rsidRPr="00634F9F" w:rsidRDefault="00634F9F" w:rsidP="006A57E5">
            <w:pPr>
              <w:pStyle w:val="BodyText"/>
              <w:spacing w:before="120" w:after="120"/>
              <w:ind w:right="264"/>
              <w:jc w:val="right"/>
              <w:rPr>
                <w:color w:val="auto"/>
                <w:sz w:val="32"/>
                <w:szCs w:val="32"/>
              </w:rPr>
            </w:pPr>
            <w:r w:rsidRPr="00634F9F">
              <w:rPr>
                <w:color w:val="auto"/>
                <w:sz w:val="32"/>
                <w:szCs w:val="32"/>
              </w:rPr>
              <w:t>Number of Awards</w:t>
            </w:r>
          </w:p>
        </w:tc>
        <w:tc>
          <w:tcPr>
            <w:tcW w:w="2268" w:type="dxa"/>
            <w:shd w:val="clear" w:color="auto" w:fill="auto"/>
            <w:tcMar>
              <w:top w:w="10" w:type="dxa"/>
              <w:left w:w="10" w:type="dxa"/>
              <w:bottom w:w="0" w:type="dxa"/>
              <w:right w:w="10" w:type="dxa"/>
            </w:tcMar>
            <w:vAlign w:val="center"/>
          </w:tcPr>
          <w:p w14:paraId="67A8F5A2" w14:textId="77777777" w:rsidR="00634F9F" w:rsidRPr="00634F9F" w:rsidRDefault="00634F9F" w:rsidP="006A57E5">
            <w:pPr>
              <w:pStyle w:val="BodyText"/>
              <w:spacing w:before="120" w:after="120"/>
              <w:ind w:right="264"/>
              <w:jc w:val="right"/>
              <w:rPr>
                <w:color w:val="auto"/>
                <w:sz w:val="32"/>
                <w:szCs w:val="32"/>
              </w:rPr>
            </w:pPr>
            <w:r w:rsidRPr="00634F9F">
              <w:rPr>
                <w:color w:val="auto"/>
                <w:sz w:val="32"/>
                <w:szCs w:val="32"/>
              </w:rPr>
              <w:t>Total Value of Grant</w:t>
            </w:r>
          </w:p>
        </w:tc>
        <w:tc>
          <w:tcPr>
            <w:tcW w:w="1559" w:type="dxa"/>
            <w:shd w:val="clear" w:color="auto" w:fill="auto"/>
            <w:tcMar>
              <w:top w:w="10" w:type="dxa"/>
              <w:left w:w="10" w:type="dxa"/>
              <w:bottom w:w="0" w:type="dxa"/>
              <w:right w:w="10" w:type="dxa"/>
            </w:tcMar>
            <w:vAlign w:val="center"/>
          </w:tcPr>
          <w:p w14:paraId="57E42390" w14:textId="77777777" w:rsidR="00634F9F" w:rsidRPr="00634F9F" w:rsidRDefault="00634F9F" w:rsidP="006A57E5">
            <w:pPr>
              <w:pStyle w:val="BodyText"/>
              <w:spacing w:before="120" w:after="120"/>
              <w:ind w:right="264"/>
              <w:jc w:val="right"/>
              <w:rPr>
                <w:sz w:val="32"/>
                <w:szCs w:val="32"/>
              </w:rPr>
            </w:pPr>
            <w:r w:rsidRPr="00634F9F">
              <w:rPr>
                <w:b/>
                <w:bCs/>
                <w:color w:val="auto"/>
                <w:sz w:val="32"/>
                <w:szCs w:val="32"/>
              </w:rPr>
              <w:t>% of all awards</w:t>
            </w:r>
          </w:p>
        </w:tc>
        <w:tc>
          <w:tcPr>
            <w:tcW w:w="2127" w:type="dxa"/>
            <w:shd w:val="clear" w:color="auto" w:fill="auto"/>
            <w:tcMar>
              <w:top w:w="10" w:type="dxa"/>
              <w:left w:w="10" w:type="dxa"/>
              <w:bottom w:w="0" w:type="dxa"/>
              <w:right w:w="10" w:type="dxa"/>
            </w:tcMar>
            <w:vAlign w:val="center"/>
          </w:tcPr>
          <w:p w14:paraId="663531BD" w14:textId="77777777" w:rsidR="00634F9F" w:rsidRPr="00634F9F" w:rsidRDefault="00634F9F" w:rsidP="006A57E5">
            <w:pPr>
              <w:pStyle w:val="BodyText"/>
              <w:spacing w:before="120" w:after="120"/>
              <w:ind w:right="264"/>
              <w:jc w:val="right"/>
              <w:rPr>
                <w:color w:val="auto"/>
                <w:sz w:val="32"/>
                <w:szCs w:val="32"/>
              </w:rPr>
            </w:pPr>
            <w:r w:rsidRPr="00634F9F">
              <w:rPr>
                <w:color w:val="auto"/>
                <w:sz w:val="32"/>
                <w:szCs w:val="32"/>
              </w:rPr>
              <w:t>% value of all awards</w:t>
            </w:r>
          </w:p>
        </w:tc>
      </w:tr>
      <w:tr w:rsidR="00634F9F" w:rsidRPr="00634F9F" w14:paraId="25D32794" w14:textId="77777777" w:rsidTr="00E60095">
        <w:trPr>
          <w:trHeight w:val="279"/>
          <w:jc w:val="center"/>
        </w:trPr>
        <w:tc>
          <w:tcPr>
            <w:tcW w:w="5235" w:type="dxa"/>
            <w:shd w:val="clear" w:color="auto" w:fill="auto"/>
            <w:tcMar>
              <w:top w:w="10" w:type="dxa"/>
              <w:left w:w="10" w:type="dxa"/>
              <w:bottom w:w="0" w:type="dxa"/>
              <w:right w:w="10" w:type="dxa"/>
            </w:tcMar>
            <w:vAlign w:val="center"/>
          </w:tcPr>
          <w:p w14:paraId="2B4B0121"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Culturally and Ethnically Diverse Led Organisations</w:t>
            </w:r>
          </w:p>
        </w:tc>
        <w:tc>
          <w:tcPr>
            <w:tcW w:w="2126" w:type="dxa"/>
            <w:shd w:val="clear" w:color="auto" w:fill="auto"/>
            <w:tcMar>
              <w:top w:w="10" w:type="dxa"/>
              <w:left w:w="10" w:type="dxa"/>
              <w:bottom w:w="0" w:type="dxa"/>
              <w:right w:w="10" w:type="dxa"/>
            </w:tcMar>
            <w:vAlign w:val="center"/>
          </w:tcPr>
          <w:p w14:paraId="77770F6C"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30</w:t>
            </w:r>
          </w:p>
        </w:tc>
        <w:tc>
          <w:tcPr>
            <w:tcW w:w="2268" w:type="dxa"/>
            <w:shd w:val="clear" w:color="auto" w:fill="auto"/>
            <w:tcMar>
              <w:top w:w="10" w:type="dxa"/>
              <w:left w:w="10" w:type="dxa"/>
              <w:bottom w:w="0" w:type="dxa"/>
              <w:right w:w="10" w:type="dxa"/>
            </w:tcMar>
            <w:vAlign w:val="center"/>
          </w:tcPr>
          <w:p w14:paraId="2D97AA88"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£1,470,298</w:t>
            </w:r>
          </w:p>
        </w:tc>
        <w:tc>
          <w:tcPr>
            <w:tcW w:w="1559" w:type="dxa"/>
            <w:shd w:val="clear" w:color="auto" w:fill="auto"/>
            <w:tcMar>
              <w:top w:w="10" w:type="dxa"/>
              <w:left w:w="10" w:type="dxa"/>
              <w:bottom w:w="0" w:type="dxa"/>
              <w:right w:w="10" w:type="dxa"/>
            </w:tcMar>
            <w:vAlign w:val="center"/>
          </w:tcPr>
          <w:p w14:paraId="2E75E678"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9.3</w:t>
            </w:r>
          </w:p>
        </w:tc>
        <w:tc>
          <w:tcPr>
            <w:tcW w:w="2127" w:type="dxa"/>
            <w:shd w:val="clear" w:color="auto" w:fill="auto"/>
            <w:tcMar>
              <w:top w:w="10" w:type="dxa"/>
              <w:left w:w="10" w:type="dxa"/>
              <w:bottom w:w="0" w:type="dxa"/>
              <w:right w:w="10" w:type="dxa"/>
            </w:tcMar>
            <w:vAlign w:val="center"/>
          </w:tcPr>
          <w:p w14:paraId="7C1752DF"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11.1 </w:t>
            </w:r>
          </w:p>
        </w:tc>
      </w:tr>
      <w:tr w:rsidR="00634F9F" w:rsidRPr="00634F9F" w14:paraId="39E8916A" w14:textId="77777777" w:rsidTr="00E60095">
        <w:trPr>
          <w:trHeight w:val="270"/>
          <w:jc w:val="center"/>
        </w:trPr>
        <w:tc>
          <w:tcPr>
            <w:tcW w:w="5235" w:type="dxa"/>
            <w:shd w:val="clear" w:color="auto" w:fill="auto"/>
            <w:tcMar>
              <w:top w:w="10" w:type="dxa"/>
              <w:left w:w="10" w:type="dxa"/>
              <w:bottom w:w="0" w:type="dxa"/>
              <w:right w:w="10" w:type="dxa"/>
            </w:tcMar>
            <w:vAlign w:val="center"/>
          </w:tcPr>
          <w:p w14:paraId="30A22844"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D/deaf or Disabled Led Organisations</w:t>
            </w:r>
          </w:p>
        </w:tc>
        <w:tc>
          <w:tcPr>
            <w:tcW w:w="2126" w:type="dxa"/>
            <w:shd w:val="clear" w:color="auto" w:fill="auto"/>
            <w:tcMar>
              <w:top w:w="10" w:type="dxa"/>
              <w:left w:w="10" w:type="dxa"/>
              <w:bottom w:w="0" w:type="dxa"/>
              <w:right w:w="10" w:type="dxa"/>
            </w:tcMar>
            <w:vAlign w:val="center"/>
          </w:tcPr>
          <w:p w14:paraId="57EF87D4"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44</w:t>
            </w:r>
          </w:p>
        </w:tc>
        <w:tc>
          <w:tcPr>
            <w:tcW w:w="2268" w:type="dxa"/>
            <w:shd w:val="clear" w:color="auto" w:fill="auto"/>
            <w:tcMar>
              <w:top w:w="10" w:type="dxa"/>
              <w:left w:w="10" w:type="dxa"/>
              <w:bottom w:w="0" w:type="dxa"/>
              <w:right w:w="10" w:type="dxa"/>
            </w:tcMar>
            <w:vAlign w:val="center"/>
          </w:tcPr>
          <w:p w14:paraId="1B3AA2AA"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£1,914,233</w:t>
            </w:r>
          </w:p>
        </w:tc>
        <w:tc>
          <w:tcPr>
            <w:tcW w:w="1559" w:type="dxa"/>
            <w:shd w:val="clear" w:color="auto" w:fill="auto"/>
            <w:tcMar>
              <w:top w:w="10" w:type="dxa"/>
              <w:left w:w="10" w:type="dxa"/>
              <w:bottom w:w="0" w:type="dxa"/>
              <w:right w:w="10" w:type="dxa"/>
            </w:tcMar>
            <w:vAlign w:val="center"/>
          </w:tcPr>
          <w:p w14:paraId="337F14A6"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13.7</w:t>
            </w:r>
          </w:p>
        </w:tc>
        <w:tc>
          <w:tcPr>
            <w:tcW w:w="2127" w:type="dxa"/>
            <w:shd w:val="clear" w:color="auto" w:fill="auto"/>
            <w:tcMar>
              <w:top w:w="10" w:type="dxa"/>
              <w:left w:w="10" w:type="dxa"/>
              <w:bottom w:w="0" w:type="dxa"/>
              <w:right w:w="10" w:type="dxa"/>
            </w:tcMar>
            <w:vAlign w:val="center"/>
          </w:tcPr>
          <w:p w14:paraId="2D47E352"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14.5 </w:t>
            </w:r>
          </w:p>
        </w:tc>
      </w:tr>
      <w:tr w:rsidR="00634F9F" w:rsidRPr="00634F9F" w14:paraId="4FD99EF8" w14:textId="77777777" w:rsidTr="00E60095">
        <w:trPr>
          <w:trHeight w:val="270"/>
          <w:jc w:val="center"/>
        </w:trPr>
        <w:tc>
          <w:tcPr>
            <w:tcW w:w="5235" w:type="dxa"/>
            <w:shd w:val="clear" w:color="auto" w:fill="auto"/>
            <w:tcMar>
              <w:top w:w="10" w:type="dxa"/>
              <w:left w:w="10" w:type="dxa"/>
              <w:bottom w:w="0" w:type="dxa"/>
              <w:right w:w="10" w:type="dxa"/>
            </w:tcMar>
            <w:vAlign w:val="center"/>
          </w:tcPr>
          <w:p w14:paraId="2A1F5412"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Male Led Organisations</w:t>
            </w:r>
          </w:p>
        </w:tc>
        <w:tc>
          <w:tcPr>
            <w:tcW w:w="2126" w:type="dxa"/>
            <w:shd w:val="clear" w:color="auto" w:fill="auto"/>
            <w:tcMar>
              <w:top w:w="10" w:type="dxa"/>
              <w:left w:w="10" w:type="dxa"/>
              <w:bottom w:w="0" w:type="dxa"/>
              <w:right w:w="10" w:type="dxa"/>
            </w:tcMar>
            <w:vAlign w:val="center"/>
          </w:tcPr>
          <w:p w14:paraId="0EE8F1BC"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96</w:t>
            </w:r>
          </w:p>
        </w:tc>
        <w:tc>
          <w:tcPr>
            <w:tcW w:w="2268" w:type="dxa"/>
            <w:shd w:val="clear" w:color="auto" w:fill="auto"/>
            <w:tcMar>
              <w:top w:w="10" w:type="dxa"/>
              <w:left w:w="10" w:type="dxa"/>
              <w:bottom w:w="0" w:type="dxa"/>
              <w:right w:w="10" w:type="dxa"/>
            </w:tcMar>
            <w:vAlign w:val="center"/>
          </w:tcPr>
          <w:p w14:paraId="198E7FCF"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£4,138,942</w:t>
            </w:r>
          </w:p>
        </w:tc>
        <w:tc>
          <w:tcPr>
            <w:tcW w:w="1559" w:type="dxa"/>
            <w:shd w:val="clear" w:color="auto" w:fill="auto"/>
            <w:tcMar>
              <w:top w:w="10" w:type="dxa"/>
              <w:left w:w="10" w:type="dxa"/>
              <w:bottom w:w="0" w:type="dxa"/>
              <w:right w:w="10" w:type="dxa"/>
            </w:tcMar>
            <w:vAlign w:val="center"/>
          </w:tcPr>
          <w:p w14:paraId="0AC9D8C2"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29.8</w:t>
            </w:r>
          </w:p>
        </w:tc>
        <w:tc>
          <w:tcPr>
            <w:tcW w:w="2127" w:type="dxa"/>
            <w:shd w:val="clear" w:color="auto" w:fill="auto"/>
            <w:tcMar>
              <w:top w:w="10" w:type="dxa"/>
              <w:left w:w="10" w:type="dxa"/>
              <w:bottom w:w="0" w:type="dxa"/>
              <w:right w:w="10" w:type="dxa"/>
            </w:tcMar>
            <w:vAlign w:val="center"/>
          </w:tcPr>
          <w:p w14:paraId="7C8D328F"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31.3 </w:t>
            </w:r>
          </w:p>
        </w:tc>
      </w:tr>
      <w:tr w:rsidR="00634F9F" w:rsidRPr="00634F9F" w14:paraId="35226800" w14:textId="77777777" w:rsidTr="00E60095">
        <w:trPr>
          <w:trHeight w:val="270"/>
          <w:jc w:val="center"/>
        </w:trPr>
        <w:tc>
          <w:tcPr>
            <w:tcW w:w="5235" w:type="dxa"/>
            <w:shd w:val="clear" w:color="auto" w:fill="auto"/>
            <w:tcMar>
              <w:top w:w="10" w:type="dxa"/>
              <w:left w:w="10" w:type="dxa"/>
              <w:bottom w:w="0" w:type="dxa"/>
              <w:right w:w="10" w:type="dxa"/>
            </w:tcMar>
            <w:vAlign w:val="center"/>
          </w:tcPr>
          <w:p w14:paraId="6AB47638"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Female Led Organisations</w:t>
            </w:r>
          </w:p>
        </w:tc>
        <w:tc>
          <w:tcPr>
            <w:tcW w:w="2126" w:type="dxa"/>
            <w:shd w:val="clear" w:color="auto" w:fill="auto"/>
            <w:tcMar>
              <w:top w:w="10" w:type="dxa"/>
              <w:left w:w="10" w:type="dxa"/>
              <w:bottom w:w="0" w:type="dxa"/>
              <w:right w:w="10" w:type="dxa"/>
            </w:tcMar>
            <w:vAlign w:val="center"/>
          </w:tcPr>
          <w:p w14:paraId="2828324A"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117</w:t>
            </w:r>
          </w:p>
        </w:tc>
        <w:tc>
          <w:tcPr>
            <w:tcW w:w="2268" w:type="dxa"/>
            <w:shd w:val="clear" w:color="auto" w:fill="auto"/>
            <w:tcMar>
              <w:top w:w="10" w:type="dxa"/>
              <w:left w:w="10" w:type="dxa"/>
              <w:bottom w:w="0" w:type="dxa"/>
              <w:right w:w="10" w:type="dxa"/>
            </w:tcMar>
            <w:vAlign w:val="center"/>
          </w:tcPr>
          <w:p w14:paraId="291E0299"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£4,407,122</w:t>
            </w:r>
          </w:p>
        </w:tc>
        <w:tc>
          <w:tcPr>
            <w:tcW w:w="1559" w:type="dxa"/>
            <w:shd w:val="clear" w:color="auto" w:fill="auto"/>
            <w:tcMar>
              <w:top w:w="10" w:type="dxa"/>
              <w:left w:w="10" w:type="dxa"/>
              <w:bottom w:w="0" w:type="dxa"/>
              <w:right w:w="10" w:type="dxa"/>
            </w:tcMar>
            <w:vAlign w:val="center"/>
          </w:tcPr>
          <w:p w14:paraId="7F566685"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36.3</w:t>
            </w:r>
          </w:p>
        </w:tc>
        <w:tc>
          <w:tcPr>
            <w:tcW w:w="2127" w:type="dxa"/>
            <w:shd w:val="clear" w:color="auto" w:fill="auto"/>
            <w:tcMar>
              <w:top w:w="10" w:type="dxa"/>
              <w:left w:w="10" w:type="dxa"/>
              <w:bottom w:w="0" w:type="dxa"/>
              <w:right w:w="10" w:type="dxa"/>
            </w:tcMar>
            <w:vAlign w:val="center"/>
          </w:tcPr>
          <w:p w14:paraId="30A7EC56"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33.4 </w:t>
            </w:r>
          </w:p>
        </w:tc>
      </w:tr>
      <w:tr w:rsidR="00634F9F" w:rsidRPr="00634F9F" w14:paraId="63FFC814" w14:textId="77777777" w:rsidTr="00E60095">
        <w:trPr>
          <w:trHeight w:val="270"/>
          <w:jc w:val="center"/>
        </w:trPr>
        <w:tc>
          <w:tcPr>
            <w:tcW w:w="5235" w:type="dxa"/>
            <w:shd w:val="clear" w:color="auto" w:fill="auto"/>
            <w:tcMar>
              <w:top w:w="10" w:type="dxa"/>
              <w:left w:w="10" w:type="dxa"/>
              <w:bottom w:w="0" w:type="dxa"/>
              <w:right w:w="10" w:type="dxa"/>
            </w:tcMar>
            <w:vAlign w:val="center"/>
          </w:tcPr>
          <w:p w14:paraId="03FC89CB"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LGB Led Organisations</w:t>
            </w:r>
          </w:p>
        </w:tc>
        <w:tc>
          <w:tcPr>
            <w:tcW w:w="2126" w:type="dxa"/>
            <w:shd w:val="clear" w:color="auto" w:fill="auto"/>
            <w:tcMar>
              <w:top w:w="10" w:type="dxa"/>
              <w:left w:w="10" w:type="dxa"/>
              <w:bottom w:w="0" w:type="dxa"/>
              <w:right w:w="10" w:type="dxa"/>
            </w:tcMar>
            <w:vAlign w:val="center"/>
          </w:tcPr>
          <w:p w14:paraId="0A3ED04B"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12</w:t>
            </w:r>
          </w:p>
        </w:tc>
        <w:tc>
          <w:tcPr>
            <w:tcW w:w="2268" w:type="dxa"/>
            <w:shd w:val="clear" w:color="auto" w:fill="auto"/>
            <w:tcMar>
              <w:top w:w="10" w:type="dxa"/>
              <w:left w:w="10" w:type="dxa"/>
              <w:bottom w:w="0" w:type="dxa"/>
              <w:right w:w="10" w:type="dxa"/>
            </w:tcMar>
            <w:vAlign w:val="center"/>
          </w:tcPr>
          <w:p w14:paraId="26C992C8"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£304,259</w:t>
            </w:r>
          </w:p>
        </w:tc>
        <w:tc>
          <w:tcPr>
            <w:tcW w:w="1559" w:type="dxa"/>
            <w:shd w:val="clear" w:color="auto" w:fill="auto"/>
            <w:tcMar>
              <w:top w:w="10" w:type="dxa"/>
              <w:left w:w="10" w:type="dxa"/>
              <w:bottom w:w="0" w:type="dxa"/>
              <w:right w:w="10" w:type="dxa"/>
            </w:tcMar>
            <w:vAlign w:val="center"/>
          </w:tcPr>
          <w:p w14:paraId="1E10CBB7"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3.7</w:t>
            </w:r>
          </w:p>
        </w:tc>
        <w:tc>
          <w:tcPr>
            <w:tcW w:w="2127" w:type="dxa"/>
            <w:shd w:val="clear" w:color="auto" w:fill="auto"/>
            <w:tcMar>
              <w:top w:w="10" w:type="dxa"/>
              <w:left w:w="10" w:type="dxa"/>
              <w:bottom w:w="0" w:type="dxa"/>
              <w:right w:w="10" w:type="dxa"/>
            </w:tcMar>
            <w:vAlign w:val="center"/>
          </w:tcPr>
          <w:p w14:paraId="0563E2C8"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2.3 </w:t>
            </w:r>
          </w:p>
        </w:tc>
      </w:tr>
      <w:tr w:rsidR="00634F9F" w:rsidRPr="00634F9F" w14:paraId="488E8595" w14:textId="77777777" w:rsidTr="00E60095">
        <w:trPr>
          <w:trHeight w:val="270"/>
          <w:jc w:val="center"/>
        </w:trPr>
        <w:tc>
          <w:tcPr>
            <w:tcW w:w="5235" w:type="dxa"/>
            <w:shd w:val="clear" w:color="auto" w:fill="auto"/>
            <w:tcMar>
              <w:top w:w="10" w:type="dxa"/>
              <w:left w:w="10" w:type="dxa"/>
              <w:bottom w:w="0" w:type="dxa"/>
              <w:right w:w="10" w:type="dxa"/>
            </w:tcMar>
            <w:vAlign w:val="center"/>
          </w:tcPr>
          <w:p w14:paraId="66AB94A9"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Older Person Led Organisations</w:t>
            </w:r>
          </w:p>
        </w:tc>
        <w:tc>
          <w:tcPr>
            <w:tcW w:w="2126" w:type="dxa"/>
            <w:shd w:val="clear" w:color="auto" w:fill="auto"/>
            <w:tcMar>
              <w:top w:w="10" w:type="dxa"/>
              <w:left w:w="10" w:type="dxa"/>
              <w:bottom w:w="0" w:type="dxa"/>
              <w:right w:w="10" w:type="dxa"/>
            </w:tcMar>
            <w:vAlign w:val="center"/>
          </w:tcPr>
          <w:p w14:paraId="5F72F8BA"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78</w:t>
            </w:r>
          </w:p>
        </w:tc>
        <w:tc>
          <w:tcPr>
            <w:tcW w:w="2268" w:type="dxa"/>
            <w:shd w:val="clear" w:color="auto" w:fill="auto"/>
            <w:tcMar>
              <w:top w:w="10" w:type="dxa"/>
              <w:left w:w="10" w:type="dxa"/>
              <w:bottom w:w="0" w:type="dxa"/>
              <w:right w:w="10" w:type="dxa"/>
            </w:tcMar>
            <w:vAlign w:val="center"/>
          </w:tcPr>
          <w:p w14:paraId="58BCCF89"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£2,327,290</w:t>
            </w:r>
          </w:p>
        </w:tc>
        <w:tc>
          <w:tcPr>
            <w:tcW w:w="1559" w:type="dxa"/>
            <w:shd w:val="clear" w:color="auto" w:fill="auto"/>
            <w:tcMar>
              <w:top w:w="10" w:type="dxa"/>
              <w:left w:w="10" w:type="dxa"/>
              <w:bottom w:w="0" w:type="dxa"/>
              <w:right w:w="10" w:type="dxa"/>
            </w:tcMar>
            <w:vAlign w:val="center"/>
          </w:tcPr>
          <w:p w14:paraId="5E729E0C"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24.2</w:t>
            </w:r>
          </w:p>
        </w:tc>
        <w:tc>
          <w:tcPr>
            <w:tcW w:w="2127" w:type="dxa"/>
            <w:shd w:val="clear" w:color="auto" w:fill="auto"/>
            <w:tcMar>
              <w:top w:w="10" w:type="dxa"/>
              <w:left w:w="10" w:type="dxa"/>
              <w:bottom w:w="0" w:type="dxa"/>
              <w:right w:w="10" w:type="dxa"/>
            </w:tcMar>
            <w:vAlign w:val="center"/>
          </w:tcPr>
          <w:p w14:paraId="6E26260C"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17.6 </w:t>
            </w:r>
          </w:p>
        </w:tc>
      </w:tr>
      <w:tr w:rsidR="00634F9F" w:rsidRPr="00634F9F" w14:paraId="55D937F7" w14:textId="77777777" w:rsidTr="00E60095">
        <w:trPr>
          <w:trHeight w:val="270"/>
          <w:jc w:val="center"/>
        </w:trPr>
        <w:tc>
          <w:tcPr>
            <w:tcW w:w="5235" w:type="dxa"/>
            <w:shd w:val="clear" w:color="auto" w:fill="auto"/>
            <w:tcMar>
              <w:top w:w="10" w:type="dxa"/>
              <w:left w:w="10" w:type="dxa"/>
              <w:bottom w:w="0" w:type="dxa"/>
              <w:right w:w="10" w:type="dxa"/>
            </w:tcMar>
            <w:vAlign w:val="center"/>
          </w:tcPr>
          <w:p w14:paraId="1EA77C46" w14:textId="77777777" w:rsidR="00634F9F" w:rsidRPr="00634F9F" w:rsidRDefault="00634F9F" w:rsidP="006A57E5">
            <w:pPr>
              <w:pStyle w:val="BodyText"/>
              <w:spacing w:before="120" w:after="120"/>
              <w:ind w:left="122"/>
              <w:rPr>
                <w:sz w:val="32"/>
                <w:szCs w:val="32"/>
              </w:rPr>
            </w:pPr>
            <w:r w:rsidRPr="00634F9F">
              <w:rPr>
                <w:rFonts w:cs="Calibri"/>
                <w:color w:val="000000" w:themeColor="text1"/>
                <w:sz w:val="32"/>
                <w:szCs w:val="32"/>
              </w:rPr>
              <w:t>Children &amp; Young People Led organisations</w:t>
            </w:r>
          </w:p>
        </w:tc>
        <w:tc>
          <w:tcPr>
            <w:tcW w:w="2126" w:type="dxa"/>
            <w:shd w:val="clear" w:color="auto" w:fill="auto"/>
            <w:tcMar>
              <w:top w:w="10" w:type="dxa"/>
              <w:left w:w="10" w:type="dxa"/>
              <w:bottom w:w="0" w:type="dxa"/>
              <w:right w:w="10" w:type="dxa"/>
            </w:tcMar>
            <w:vAlign w:val="center"/>
          </w:tcPr>
          <w:p w14:paraId="1A57466D"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5</w:t>
            </w:r>
          </w:p>
        </w:tc>
        <w:tc>
          <w:tcPr>
            <w:tcW w:w="2268" w:type="dxa"/>
            <w:shd w:val="clear" w:color="auto" w:fill="auto"/>
            <w:tcMar>
              <w:top w:w="10" w:type="dxa"/>
              <w:left w:w="10" w:type="dxa"/>
              <w:bottom w:w="0" w:type="dxa"/>
              <w:right w:w="10" w:type="dxa"/>
            </w:tcMar>
            <w:vAlign w:val="center"/>
          </w:tcPr>
          <w:p w14:paraId="21357188"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£70,514</w:t>
            </w:r>
          </w:p>
        </w:tc>
        <w:tc>
          <w:tcPr>
            <w:tcW w:w="1559" w:type="dxa"/>
            <w:shd w:val="clear" w:color="auto" w:fill="auto"/>
            <w:tcMar>
              <w:top w:w="10" w:type="dxa"/>
              <w:left w:w="10" w:type="dxa"/>
              <w:bottom w:w="0" w:type="dxa"/>
              <w:right w:w="10" w:type="dxa"/>
            </w:tcMar>
            <w:vAlign w:val="center"/>
          </w:tcPr>
          <w:p w14:paraId="1A512F26" w14:textId="77777777" w:rsidR="00634F9F" w:rsidRPr="00634F9F" w:rsidRDefault="00634F9F" w:rsidP="006A57E5">
            <w:pPr>
              <w:pStyle w:val="BodyText"/>
              <w:spacing w:before="120" w:after="120"/>
              <w:ind w:right="264"/>
              <w:jc w:val="right"/>
              <w:rPr>
                <w:sz w:val="32"/>
                <w:szCs w:val="32"/>
              </w:rPr>
            </w:pPr>
            <w:r w:rsidRPr="00634F9F">
              <w:rPr>
                <w:rFonts w:cs="Calibri"/>
                <w:color w:val="000000" w:themeColor="text1"/>
                <w:sz w:val="32"/>
                <w:szCs w:val="32"/>
              </w:rPr>
              <w:t>1.6</w:t>
            </w:r>
          </w:p>
        </w:tc>
        <w:tc>
          <w:tcPr>
            <w:tcW w:w="2127" w:type="dxa"/>
            <w:shd w:val="clear" w:color="auto" w:fill="auto"/>
            <w:tcMar>
              <w:top w:w="10" w:type="dxa"/>
              <w:left w:w="10" w:type="dxa"/>
              <w:bottom w:w="0" w:type="dxa"/>
              <w:right w:w="10" w:type="dxa"/>
            </w:tcMar>
            <w:vAlign w:val="center"/>
          </w:tcPr>
          <w:p w14:paraId="378A75E2" w14:textId="77777777" w:rsidR="00634F9F" w:rsidRPr="00634F9F" w:rsidRDefault="00634F9F" w:rsidP="006A57E5">
            <w:pPr>
              <w:pStyle w:val="BodyText"/>
              <w:spacing w:before="120" w:after="120"/>
              <w:ind w:right="264"/>
              <w:jc w:val="right"/>
              <w:rPr>
                <w:sz w:val="32"/>
                <w:szCs w:val="32"/>
              </w:rPr>
            </w:pPr>
            <w:r w:rsidRPr="00634F9F">
              <w:rPr>
                <w:color w:val="000000" w:themeColor="text1"/>
                <w:sz w:val="32"/>
                <w:szCs w:val="32"/>
              </w:rPr>
              <w:t xml:space="preserve">0.5 </w:t>
            </w:r>
          </w:p>
        </w:tc>
      </w:tr>
    </w:tbl>
    <w:p w14:paraId="455B1C64" w14:textId="77777777" w:rsidR="00DC6EC7" w:rsidRDefault="00DC6EC7" w:rsidP="006A32DC"/>
    <w:p w14:paraId="06F94BF4" w14:textId="77777777" w:rsidR="00DC6EC7" w:rsidRDefault="00DC6EC7" w:rsidP="006A32DC">
      <w:pPr>
        <w:sectPr w:rsidR="00DC6EC7" w:rsidSect="003D457A">
          <w:type w:val="continuous"/>
          <w:pgSz w:w="16838" w:h="11906" w:orient="landscape"/>
          <w:pgMar w:top="992" w:right="1440" w:bottom="992" w:left="851" w:header="709" w:footer="284" w:gutter="0"/>
          <w:cols w:space="708"/>
          <w:docGrid w:linePitch="490"/>
        </w:sectPr>
      </w:pPr>
    </w:p>
    <w:p w14:paraId="24504EED" w14:textId="77777777" w:rsidR="00E92416" w:rsidRDefault="00E92416" w:rsidP="003A7739">
      <w:pPr>
        <w:pStyle w:val="Heading2"/>
      </w:pPr>
      <w:r>
        <w:lastRenderedPageBreak/>
        <w:t xml:space="preserve">Strategic Equality Committee </w:t>
      </w:r>
    </w:p>
    <w:p w14:paraId="37F0AD1E" w14:textId="77777777" w:rsidR="00E92416" w:rsidRDefault="00E92416" w:rsidP="00E92416">
      <w:r>
        <w:t xml:space="preserve">The monitoring of the Arts Council of </w:t>
      </w:r>
      <w:proofErr w:type="spellStart"/>
      <w:r>
        <w:t>Wales’</w:t>
      </w:r>
      <w:proofErr w:type="spellEnd"/>
      <w:r>
        <w:t xml:space="preserve"> responsibilities under the Public Sector Equality Duty is something that Council has taken very seriously. It has set the bar high and is keen - not only to meet our obligations fully - but to champion the principles underpinning the legislation.</w:t>
      </w:r>
    </w:p>
    <w:p w14:paraId="272E3BA1" w14:textId="77777777" w:rsidR="00E92416" w:rsidRDefault="00E92416" w:rsidP="00E92416">
      <w:r>
        <w:t xml:space="preserve">Our Strategic Equality Committee continued to monitor progress with our strategic equality action plan </w:t>
      </w:r>
      <w:proofErr w:type="gramStart"/>
      <w:r>
        <w:t>and also</w:t>
      </w:r>
      <w:proofErr w:type="gramEnd"/>
      <w:r>
        <w:t xml:space="preserve"> gave focus and challenge to the ongoing delivery and progress of the Widening Engagement action plan. </w:t>
      </w:r>
    </w:p>
    <w:p w14:paraId="33B26043" w14:textId="77777777" w:rsidR="00E92416" w:rsidRDefault="00E92416" w:rsidP="00E92416">
      <w:r>
        <w:t xml:space="preserve">The Committee sets the agenda of our equalities work and reports directly to Council on performance against our objectives. </w:t>
      </w:r>
    </w:p>
    <w:p w14:paraId="4D7304DB" w14:textId="77777777" w:rsidR="00FF4E3A" w:rsidRDefault="00FF4E3A">
      <w:pPr>
        <w:spacing w:before="0" w:after="160" w:line="259" w:lineRule="auto"/>
        <w:rPr>
          <w:rFonts w:eastAsiaTheme="majorEastAsia" w:cstheme="majorBidi"/>
          <w:sz w:val="40"/>
          <w:szCs w:val="26"/>
        </w:rPr>
      </w:pPr>
      <w:r>
        <w:br w:type="page"/>
      </w:r>
    </w:p>
    <w:p w14:paraId="5D23BCD6" w14:textId="6FC0AB28" w:rsidR="00E92416" w:rsidRDefault="00E92416" w:rsidP="007E0A8E">
      <w:pPr>
        <w:pStyle w:val="Heading2"/>
      </w:pPr>
      <w:r>
        <w:lastRenderedPageBreak/>
        <w:t>Meeting our Legislative Responsibilities</w:t>
      </w:r>
    </w:p>
    <w:p w14:paraId="3F10370F" w14:textId="77777777" w:rsidR="00E92416" w:rsidRDefault="00E92416" w:rsidP="00E92416">
      <w:r>
        <w:t xml:space="preserve">During 2022/23 we monitored our progress with the </w:t>
      </w:r>
      <w:proofErr w:type="gramStart"/>
      <w:r>
        <w:t>day to day</w:t>
      </w:r>
      <w:proofErr w:type="gramEnd"/>
      <w:r>
        <w:t xml:space="preserve"> tasks required to meet our obligations under the Public Sector Equality Duty at two meetings of the monitoring group.</w:t>
      </w:r>
    </w:p>
    <w:p w14:paraId="2FD74CA1" w14:textId="77777777" w:rsidR="00E92416" w:rsidRDefault="00E92416" w:rsidP="00E92416">
      <w:r>
        <w:t>Our plan continues to address the general duty in relation to:</w:t>
      </w:r>
    </w:p>
    <w:p w14:paraId="71A3883D" w14:textId="26C314A0" w:rsidR="00E92416" w:rsidRDefault="00E92416" w:rsidP="00F11CF1">
      <w:pPr>
        <w:pStyle w:val="ListParagraph"/>
      </w:pPr>
      <w:r>
        <w:t>Eliminating unlawful discrimination, harassment and victimisation and other conduct that is prohibited by the Act</w:t>
      </w:r>
      <w:r w:rsidR="001C4C9F">
        <w:t>.</w:t>
      </w:r>
      <w:r>
        <w:t xml:space="preserve"> </w:t>
      </w:r>
    </w:p>
    <w:p w14:paraId="29AE7E81" w14:textId="24FAFA38" w:rsidR="00E92416" w:rsidRDefault="00E92416" w:rsidP="00F11CF1">
      <w:pPr>
        <w:pStyle w:val="ListParagraph"/>
      </w:pPr>
      <w:r>
        <w:t>Advancing equality of opportunity between people who share a relevant protected characteristic and those who do not</w:t>
      </w:r>
      <w:r w:rsidR="001C4C9F">
        <w:t>.</w:t>
      </w:r>
    </w:p>
    <w:p w14:paraId="2637D589" w14:textId="3494EA03" w:rsidR="00E92416" w:rsidRDefault="00E92416" w:rsidP="00F11CF1">
      <w:pPr>
        <w:pStyle w:val="ListParagraph"/>
      </w:pPr>
      <w:r>
        <w:t xml:space="preserve">Fostering good relations between people who share a protected characteristic and those who do not. </w:t>
      </w:r>
    </w:p>
    <w:p w14:paraId="7254DD6C" w14:textId="77777777" w:rsidR="00FF4E3A" w:rsidRDefault="00FF4E3A">
      <w:pPr>
        <w:spacing w:before="0" w:after="160" w:line="259" w:lineRule="auto"/>
      </w:pPr>
      <w:r>
        <w:br w:type="page"/>
      </w:r>
    </w:p>
    <w:p w14:paraId="0B4C7FB1" w14:textId="7A9647FE" w:rsidR="00E92416" w:rsidRDefault="00E92416" w:rsidP="00E92416">
      <w:r>
        <w:lastRenderedPageBreak/>
        <w:t>In relation to the specific duties for Wales, we have:</w:t>
      </w:r>
    </w:p>
    <w:p w14:paraId="10CB4EC5" w14:textId="36DB5F11" w:rsidR="00E92416" w:rsidRDefault="00E92416" w:rsidP="00F11CF1">
      <w:pPr>
        <w:pStyle w:val="ListParagraph"/>
      </w:pPr>
      <w:r>
        <w:t xml:space="preserve">Continued to monitor and report on pay differences with specific reference to gender pay gaps. </w:t>
      </w:r>
    </w:p>
    <w:p w14:paraId="62998826" w14:textId="1F9D61F9" w:rsidR="00E92416" w:rsidRDefault="00E92416" w:rsidP="00F11CF1">
      <w:pPr>
        <w:pStyle w:val="ListParagraph"/>
      </w:pPr>
      <w:r>
        <w:t xml:space="preserve">Collate and monitor employment data, including applications for posts within the Arts Council but we are still to progress our work around monitoring of training and professional development amongst our staff. This will need to be taken forward in the next financial year. </w:t>
      </w:r>
    </w:p>
    <w:p w14:paraId="3708F691" w14:textId="4FA7ACB2" w:rsidR="00E92416" w:rsidRDefault="00E92416" w:rsidP="00F11CF1">
      <w:pPr>
        <w:pStyle w:val="ListParagraph"/>
      </w:pPr>
      <w:r>
        <w:t xml:space="preserve">We have continued to produce detailed equality impact assessments for all policies, programmes and projects. </w:t>
      </w:r>
    </w:p>
    <w:p w14:paraId="6DE7ED91" w14:textId="00C24C5D" w:rsidR="00E92416" w:rsidRDefault="00E92416" w:rsidP="00F11CF1">
      <w:pPr>
        <w:pStyle w:val="ListParagraph"/>
      </w:pPr>
      <w:r>
        <w:t xml:space="preserve">We include equalities expectations in our procurement policy and processes but have not yet developed a process for monitoring progress against these expectations. This will need to be taken forward in the next financial year. </w:t>
      </w:r>
    </w:p>
    <w:p w14:paraId="7591CC28" w14:textId="77777777" w:rsidR="00E92416" w:rsidRDefault="00E92416" w:rsidP="00753B74">
      <w:pPr>
        <w:pStyle w:val="Heading2"/>
      </w:pPr>
      <w:r>
        <w:lastRenderedPageBreak/>
        <w:t>Evidence of the 5 Ways of Working</w:t>
      </w:r>
    </w:p>
    <w:p w14:paraId="75521DBA" w14:textId="77777777" w:rsidR="00E92416" w:rsidRDefault="00E92416" w:rsidP="00D61CFE">
      <w:pPr>
        <w:pStyle w:val="Heading3"/>
      </w:pPr>
      <w:r>
        <w:t>The integration of our work with the work of other public bodies</w:t>
      </w:r>
    </w:p>
    <w:p w14:paraId="6A4B6ADE" w14:textId="77777777" w:rsidR="00E92416" w:rsidRDefault="00E92416" w:rsidP="00E92416">
      <w:r>
        <w:t xml:space="preserve">We continued to work with the network of 11 public bodies on our shared equality objectives and we took over the administration for the group. The network includes bodies such as Natural Resources Wales, Sports Wales, Cardiff and Vale University Health Board, </w:t>
      </w:r>
      <w:proofErr w:type="spellStart"/>
      <w:r>
        <w:t>Velindre</w:t>
      </w:r>
      <w:proofErr w:type="spellEnd"/>
      <w:r>
        <w:t xml:space="preserve"> University NHS Trust, Welsh Language Commissioner, Careers Wales, amongst others.</w:t>
      </w:r>
    </w:p>
    <w:p w14:paraId="6A4FC20E" w14:textId="39B9A6C3" w:rsidR="00E92416" w:rsidRDefault="00E92416" w:rsidP="00E92416">
      <w:r>
        <w:t>This partnership will continue with a commitment to monitor our progress against the objectives and share learning and emerging best practi</w:t>
      </w:r>
      <w:r w:rsidR="001C4C9F">
        <w:t>ce.</w:t>
      </w:r>
    </w:p>
    <w:p w14:paraId="10D47326" w14:textId="77777777" w:rsidR="00E92416" w:rsidRDefault="00E92416" w:rsidP="00D61CFE">
      <w:pPr>
        <w:pStyle w:val="Heading3"/>
      </w:pPr>
      <w:r>
        <w:t>Increasing the number of collaborations and partnerships we are involved in</w:t>
      </w:r>
    </w:p>
    <w:p w14:paraId="41522709" w14:textId="77777777" w:rsidR="00E92416" w:rsidRDefault="00E92416" w:rsidP="00E92416">
      <w:r>
        <w:t>Strong collaborations and partnerships continue to be critical to our work and during the year we have continued to nurture the strategic level partnerships we have established. These have included those referenced below.</w:t>
      </w:r>
    </w:p>
    <w:p w14:paraId="07B060E2" w14:textId="77777777" w:rsidR="00E92416" w:rsidRDefault="00E92416" w:rsidP="00E92416">
      <w:r>
        <w:lastRenderedPageBreak/>
        <w:t xml:space="preserve">We have continued to work closely with other Arts Councils across the UK learning from their work and sharing our own. Discussions have continued to focus on the possible development of a UK wide access card scheme. </w:t>
      </w:r>
    </w:p>
    <w:p w14:paraId="14818510" w14:textId="77777777" w:rsidR="00E92416" w:rsidRDefault="00E92416" w:rsidP="00E92416">
      <w:r>
        <w:t xml:space="preserve">A key partnership has been with </w:t>
      </w:r>
      <w:proofErr w:type="spellStart"/>
      <w:r>
        <w:t>Amgueddfa</w:t>
      </w:r>
      <w:proofErr w:type="spellEnd"/>
      <w:r>
        <w:t xml:space="preserve"> Cymru on taking forward our Widening Engagement Action Plan.</w:t>
      </w:r>
    </w:p>
    <w:p w14:paraId="47DA6AD0" w14:textId="77777777" w:rsidR="00E92416" w:rsidRDefault="00E92416" w:rsidP="00E92416">
      <w:r>
        <w:t xml:space="preserve">We are working with key equality bodies to help drive our work forward. These include Stonewall Cymru, Diverse Cymru, </w:t>
      </w:r>
      <w:proofErr w:type="spellStart"/>
      <w:r>
        <w:t>Chwarae</w:t>
      </w:r>
      <w:proofErr w:type="spellEnd"/>
      <w:r>
        <w:t xml:space="preserve"> Teg, Older People’s Commissioners Office, Race Council Cymru, Health Boards, Public Health Wales. </w:t>
      </w:r>
    </w:p>
    <w:p w14:paraId="214089A7" w14:textId="77777777" w:rsidR="00E92416" w:rsidRDefault="00E92416" w:rsidP="00D61CFE">
      <w:pPr>
        <w:pStyle w:val="Heading3"/>
      </w:pPr>
      <w:r>
        <w:t>Listening to our staff, stakeholders and beneficiaries</w:t>
      </w:r>
    </w:p>
    <w:p w14:paraId="43ED8836" w14:textId="77777777" w:rsidR="00E92416" w:rsidRDefault="00E92416" w:rsidP="00E92416">
      <w:r>
        <w:t xml:space="preserve">Our Strategic Equality Committee involves staff from across the organisation as well as external advisors. </w:t>
      </w:r>
    </w:p>
    <w:p w14:paraId="0A8F5078" w14:textId="2B41E932" w:rsidR="00E92416" w:rsidRDefault="00E92416" w:rsidP="00E92416">
      <w:r>
        <w:t xml:space="preserve">Consulting with wider stakeholders, specifically organisations and individuals we don’t already have an ongoing relationship with continues to be a key aim and ongoing challenge for us. Our Widening Engagement </w:t>
      </w:r>
      <w:r>
        <w:lastRenderedPageBreak/>
        <w:t>work will be key in informing the future direction of our plan</w:t>
      </w:r>
      <w:r w:rsidR="00837740">
        <w:t>.</w:t>
      </w:r>
    </w:p>
    <w:p w14:paraId="370EBEB2" w14:textId="77777777" w:rsidR="00E92416" w:rsidRDefault="00E92416" w:rsidP="00D61CFE">
      <w:pPr>
        <w:pStyle w:val="Heading3"/>
      </w:pPr>
      <w:r>
        <w:t>Preventing Harm</w:t>
      </w:r>
    </w:p>
    <w:p w14:paraId="4BB687DB" w14:textId="77777777" w:rsidR="00E92416" w:rsidRDefault="00E92416" w:rsidP="00E92416">
      <w:r>
        <w:t xml:space="preserve">Our equalities objectives have been designed to address the prevention agenda. </w:t>
      </w:r>
    </w:p>
    <w:p w14:paraId="3486CA8E" w14:textId="77777777" w:rsidR="00E92416" w:rsidRDefault="00E92416" w:rsidP="00D61CFE">
      <w:pPr>
        <w:pStyle w:val="Heading3"/>
      </w:pPr>
      <w:r>
        <w:t>Thinking Long Term</w:t>
      </w:r>
    </w:p>
    <w:p w14:paraId="321575F0" w14:textId="77777777" w:rsidR="00E92416" w:rsidRDefault="00E92416" w:rsidP="00E92416">
      <w:r>
        <w:t xml:space="preserve">This continues to be a key driver for our work. Considering the </w:t>
      </w:r>
      <w:proofErr w:type="gramStart"/>
      <w:r>
        <w:t>longer term</w:t>
      </w:r>
      <w:proofErr w:type="gramEnd"/>
      <w:r>
        <w:t xml:space="preserve"> impact of what we do now has become more embedded in our planning. </w:t>
      </w:r>
    </w:p>
    <w:sectPr w:rsidR="00E92416" w:rsidSect="00C2609C">
      <w:pgSz w:w="11906" w:h="16838"/>
      <w:pgMar w:top="1440" w:right="1440" w:bottom="1560"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A9B3" w14:textId="77777777" w:rsidR="00B83D54" w:rsidRDefault="00B83D54" w:rsidP="00804CA7">
      <w:pPr>
        <w:spacing w:before="0" w:after="0" w:line="240" w:lineRule="auto"/>
      </w:pPr>
      <w:r>
        <w:separator/>
      </w:r>
    </w:p>
  </w:endnote>
  <w:endnote w:type="continuationSeparator" w:id="0">
    <w:p w14:paraId="77BB466C" w14:textId="77777777" w:rsidR="00B83D54" w:rsidRDefault="00B83D54"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21421"/>
      <w:docPartObj>
        <w:docPartGallery w:val="Page Numbers (Bottom of Page)"/>
        <w:docPartUnique/>
      </w:docPartObj>
    </w:sdtPr>
    <w:sdtEndPr>
      <w:rPr>
        <w:noProof/>
      </w:rPr>
    </w:sdtEndPr>
    <w:sdtContent>
      <w:p w14:paraId="45EB8025"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9FE5F4"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D78D9" w14:textId="77777777" w:rsidR="00B83D54" w:rsidRDefault="00B83D54" w:rsidP="00804CA7">
      <w:pPr>
        <w:spacing w:before="0" w:after="0" w:line="240" w:lineRule="auto"/>
      </w:pPr>
      <w:r>
        <w:separator/>
      </w:r>
    </w:p>
  </w:footnote>
  <w:footnote w:type="continuationSeparator" w:id="0">
    <w:p w14:paraId="024FE272" w14:textId="77777777" w:rsidR="00B83D54" w:rsidRDefault="00B83D54"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A03AF"/>
    <w:multiLevelType w:val="hybridMultilevel"/>
    <w:tmpl w:val="DD546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A91AB6"/>
    <w:multiLevelType w:val="multilevel"/>
    <w:tmpl w:val="E6B8CC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B1EEC"/>
    <w:multiLevelType w:val="hybridMultilevel"/>
    <w:tmpl w:val="1BD6274E"/>
    <w:lvl w:ilvl="0" w:tplc="265601D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6"/>
  </w:num>
  <w:num w:numId="2" w16cid:durableId="618070231">
    <w:abstractNumId w:val="10"/>
  </w:num>
  <w:num w:numId="3" w16cid:durableId="2039038388">
    <w:abstractNumId w:val="1"/>
  </w:num>
  <w:num w:numId="4" w16cid:durableId="554439271">
    <w:abstractNumId w:val="7"/>
  </w:num>
  <w:num w:numId="5" w16cid:durableId="619646623">
    <w:abstractNumId w:val="3"/>
  </w:num>
  <w:num w:numId="6" w16cid:durableId="893539561">
    <w:abstractNumId w:val="4"/>
  </w:num>
  <w:num w:numId="7" w16cid:durableId="1367364487">
    <w:abstractNumId w:val="5"/>
  </w:num>
  <w:num w:numId="8" w16cid:durableId="1453668086">
    <w:abstractNumId w:val="2"/>
  </w:num>
  <w:num w:numId="9" w16cid:durableId="1563128325">
    <w:abstractNumId w:val="0"/>
  </w:num>
  <w:num w:numId="10" w16cid:durableId="1048183323">
    <w:abstractNumId w:val="9"/>
  </w:num>
  <w:num w:numId="11" w16cid:durableId="2085375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l/ngeZSwNYlY9Y602aFsngigQJyzaeBE7/ThPap2OFG1+731ZQuqOUMRkRjIDAxy+nx4ik30COAFVwz8yFigA==" w:salt="fpOqkv4OAnWaUzSV13fj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54"/>
    <w:rsid w:val="00003E19"/>
    <w:rsid w:val="00011021"/>
    <w:rsid w:val="00025582"/>
    <w:rsid w:val="00025A6A"/>
    <w:rsid w:val="00033852"/>
    <w:rsid w:val="0004378E"/>
    <w:rsid w:val="00045C28"/>
    <w:rsid w:val="0005121C"/>
    <w:rsid w:val="00054AEF"/>
    <w:rsid w:val="000576AF"/>
    <w:rsid w:val="00063980"/>
    <w:rsid w:val="00071A4D"/>
    <w:rsid w:val="00082F77"/>
    <w:rsid w:val="00083261"/>
    <w:rsid w:val="00091AA8"/>
    <w:rsid w:val="000A2EAB"/>
    <w:rsid w:val="000A7279"/>
    <w:rsid w:val="000A78F1"/>
    <w:rsid w:val="000B3B04"/>
    <w:rsid w:val="000C2DA7"/>
    <w:rsid w:val="000C3480"/>
    <w:rsid w:val="000C54CE"/>
    <w:rsid w:val="000D1AE9"/>
    <w:rsid w:val="000D3DE7"/>
    <w:rsid w:val="000D4CD5"/>
    <w:rsid w:val="000D50F5"/>
    <w:rsid w:val="000D775B"/>
    <w:rsid w:val="000E21AA"/>
    <w:rsid w:val="000F1EB6"/>
    <w:rsid w:val="000F20DC"/>
    <w:rsid w:val="000F5BD7"/>
    <w:rsid w:val="000F6069"/>
    <w:rsid w:val="0011638E"/>
    <w:rsid w:val="00131F42"/>
    <w:rsid w:val="00133864"/>
    <w:rsid w:val="001463D2"/>
    <w:rsid w:val="00153B57"/>
    <w:rsid w:val="001547D5"/>
    <w:rsid w:val="00161989"/>
    <w:rsid w:val="001638C9"/>
    <w:rsid w:val="00166F35"/>
    <w:rsid w:val="001738EB"/>
    <w:rsid w:val="001842DA"/>
    <w:rsid w:val="00191764"/>
    <w:rsid w:val="001945EB"/>
    <w:rsid w:val="001A0812"/>
    <w:rsid w:val="001A5023"/>
    <w:rsid w:val="001A5DBF"/>
    <w:rsid w:val="001C4C9F"/>
    <w:rsid w:val="001D5ABE"/>
    <w:rsid w:val="001D7140"/>
    <w:rsid w:val="001E1328"/>
    <w:rsid w:val="001E574C"/>
    <w:rsid w:val="00211A66"/>
    <w:rsid w:val="00211EF5"/>
    <w:rsid w:val="00220B48"/>
    <w:rsid w:val="00247F8C"/>
    <w:rsid w:val="00270BF6"/>
    <w:rsid w:val="00277491"/>
    <w:rsid w:val="00284040"/>
    <w:rsid w:val="002859CD"/>
    <w:rsid w:val="00290F5E"/>
    <w:rsid w:val="002D3A45"/>
    <w:rsid w:val="002F2BEF"/>
    <w:rsid w:val="002F7F7F"/>
    <w:rsid w:val="00300993"/>
    <w:rsid w:val="003009EE"/>
    <w:rsid w:val="0030204C"/>
    <w:rsid w:val="0030473E"/>
    <w:rsid w:val="00304FBE"/>
    <w:rsid w:val="003342BB"/>
    <w:rsid w:val="0034234F"/>
    <w:rsid w:val="0034485D"/>
    <w:rsid w:val="003732AE"/>
    <w:rsid w:val="00377A79"/>
    <w:rsid w:val="00383ED6"/>
    <w:rsid w:val="00392439"/>
    <w:rsid w:val="00396511"/>
    <w:rsid w:val="003A7739"/>
    <w:rsid w:val="003B1989"/>
    <w:rsid w:val="003B34E8"/>
    <w:rsid w:val="003C2DF8"/>
    <w:rsid w:val="003C6E70"/>
    <w:rsid w:val="003D343B"/>
    <w:rsid w:val="003D457A"/>
    <w:rsid w:val="003D6007"/>
    <w:rsid w:val="003E4006"/>
    <w:rsid w:val="00405847"/>
    <w:rsid w:val="00425A46"/>
    <w:rsid w:val="00427464"/>
    <w:rsid w:val="00440551"/>
    <w:rsid w:val="00442B52"/>
    <w:rsid w:val="0044739A"/>
    <w:rsid w:val="00447CAF"/>
    <w:rsid w:val="00480FF3"/>
    <w:rsid w:val="004A43B7"/>
    <w:rsid w:val="004D6F00"/>
    <w:rsid w:val="004D79DD"/>
    <w:rsid w:val="004E3713"/>
    <w:rsid w:val="004E401D"/>
    <w:rsid w:val="00515DC9"/>
    <w:rsid w:val="0051790F"/>
    <w:rsid w:val="005443EF"/>
    <w:rsid w:val="00546E04"/>
    <w:rsid w:val="00550DD9"/>
    <w:rsid w:val="005510C4"/>
    <w:rsid w:val="0055669A"/>
    <w:rsid w:val="00560323"/>
    <w:rsid w:val="00561196"/>
    <w:rsid w:val="005737C2"/>
    <w:rsid w:val="00580486"/>
    <w:rsid w:val="00581937"/>
    <w:rsid w:val="00587A22"/>
    <w:rsid w:val="005A1D96"/>
    <w:rsid w:val="005A609F"/>
    <w:rsid w:val="005B2E24"/>
    <w:rsid w:val="005B46FF"/>
    <w:rsid w:val="005D15FD"/>
    <w:rsid w:val="005D6CC2"/>
    <w:rsid w:val="005E6062"/>
    <w:rsid w:val="00634F9F"/>
    <w:rsid w:val="0064291F"/>
    <w:rsid w:val="006527B3"/>
    <w:rsid w:val="006550A3"/>
    <w:rsid w:val="00691C52"/>
    <w:rsid w:val="00697236"/>
    <w:rsid w:val="006A32DC"/>
    <w:rsid w:val="006A57E5"/>
    <w:rsid w:val="006E0242"/>
    <w:rsid w:val="006E0B54"/>
    <w:rsid w:val="006F7635"/>
    <w:rsid w:val="00701DE4"/>
    <w:rsid w:val="007417F8"/>
    <w:rsid w:val="00753B74"/>
    <w:rsid w:val="007667AC"/>
    <w:rsid w:val="00790011"/>
    <w:rsid w:val="00794B23"/>
    <w:rsid w:val="007A39B7"/>
    <w:rsid w:val="007A60B2"/>
    <w:rsid w:val="007B2F29"/>
    <w:rsid w:val="007B622E"/>
    <w:rsid w:val="007B726C"/>
    <w:rsid w:val="007C1781"/>
    <w:rsid w:val="007D04A7"/>
    <w:rsid w:val="007D1EF8"/>
    <w:rsid w:val="007E0A8E"/>
    <w:rsid w:val="007E7F6A"/>
    <w:rsid w:val="007F0EFD"/>
    <w:rsid w:val="00804CA7"/>
    <w:rsid w:val="0081047A"/>
    <w:rsid w:val="00815D47"/>
    <w:rsid w:val="00837740"/>
    <w:rsid w:val="00855F26"/>
    <w:rsid w:val="00862456"/>
    <w:rsid w:val="00863F7B"/>
    <w:rsid w:val="00872F9D"/>
    <w:rsid w:val="00875E4B"/>
    <w:rsid w:val="008B7EB2"/>
    <w:rsid w:val="008D2EB3"/>
    <w:rsid w:val="008D534A"/>
    <w:rsid w:val="008D65A2"/>
    <w:rsid w:val="008E39DC"/>
    <w:rsid w:val="008E534D"/>
    <w:rsid w:val="008F488A"/>
    <w:rsid w:val="008F623C"/>
    <w:rsid w:val="008F77C3"/>
    <w:rsid w:val="0093180D"/>
    <w:rsid w:val="00935752"/>
    <w:rsid w:val="00944E81"/>
    <w:rsid w:val="00946A07"/>
    <w:rsid w:val="00963F91"/>
    <w:rsid w:val="009A0F76"/>
    <w:rsid w:val="009A7F39"/>
    <w:rsid w:val="009B56DF"/>
    <w:rsid w:val="009B57FA"/>
    <w:rsid w:val="009C787C"/>
    <w:rsid w:val="009D7147"/>
    <w:rsid w:val="009E0E54"/>
    <w:rsid w:val="009E503E"/>
    <w:rsid w:val="009F5C2A"/>
    <w:rsid w:val="00A1059A"/>
    <w:rsid w:val="00A21E02"/>
    <w:rsid w:val="00A50B53"/>
    <w:rsid w:val="00A52B18"/>
    <w:rsid w:val="00A71375"/>
    <w:rsid w:val="00A75063"/>
    <w:rsid w:val="00A85B8E"/>
    <w:rsid w:val="00A926CC"/>
    <w:rsid w:val="00A92D4F"/>
    <w:rsid w:val="00A95C3B"/>
    <w:rsid w:val="00AA13FE"/>
    <w:rsid w:val="00AA3474"/>
    <w:rsid w:val="00AA5B97"/>
    <w:rsid w:val="00AC27D1"/>
    <w:rsid w:val="00AD29C1"/>
    <w:rsid w:val="00AE721B"/>
    <w:rsid w:val="00AF1DA9"/>
    <w:rsid w:val="00B013A4"/>
    <w:rsid w:val="00B115E7"/>
    <w:rsid w:val="00B2379F"/>
    <w:rsid w:val="00B56002"/>
    <w:rsid w:val="00B57CBB"/>
    <w:rsid w:val="00B814DC"/>
    <w:rsid w:val="00B83D54"/>
    <w:rsid w:val="00B97D62"/>
    <w:rsid w:val="00BB03FD"/>
    <w:rsid w:val="00BB330F"/>
    <w:rsid w:val="00BB3C8D"/>
    <w:rsid w:val="00BC59F9"/>
    <w:rsid w:val="00BD23CF"/>
    <w:rsid w:val="00BE0EF0"/>
    <w:rsid w:val="00BE51E3"/>
    <w:rsid w:val="00BE57EF"/>
    <w:rsid w:val="00BE78EB"/>
    <w:rsid w:val="00BE790B"/>
    <w:rsid w:val="00BF7645"/>
    <w:rsid w:val="00C23677"/>
    <w:rsid w:val="00C2609C"/>
    <w:rsid w:val="00C345A9"/>
    <w:rsid w:val="00C34F83"/>
    <w:rsid w:val="00C369B3"/>
    <w:rsid w:val="00C41F33"/>
    <w:rsid w:val="00C71B02"/>
    <w:rsid w:val="00C72F03"/>
    <w:rsid w:val="00CA6B32"/>
    <w:rsid w:val="00CE3973"/>
    <w:rsid w:val="00CF7979"/>
    <w:rsid w:val="00D15084"/>
    <w:rsid w:val="00D16396"/>
    <w:rsid w:val="00D461B7"/>
    <w:rsid w:val="00D5137B"/>
    <w:rsid w:val="00D61CFE"/>
    <w:rsid w:val="00D647D9"/>
    <w:rsid w:val="00D76B9B"/>
    <w:rsid w:val="00D819BA"/>
    <w:rsid w:val="00DB0B5C"/>
    <w:rsid w:val="00DC6EC7"/>
    <w:rsid w:val="00DE7126"/>
    <w:rsid w:val="00DF04B6"/>
    <w:rsid w:val="00DF1790"/>
    <w:rsid w:val="00DF48C1"/>
    <w:rsid w:val="00E00FA9"/>
    <w:rsid w:val="00E07A2E"/>
    <w:rsid w:val="00E13891"/>
    <w:rsid w:val="00E2196C"/>
    <w:rsid w:val="00E44C2C"/>
    <w:rsid w:val="00E54AE2"/>
    <w:rsid w:val="00E60095"/>
    <w:rsid w:val="00E70721"/>
    <w:rsid w:val="00E72B2D"/>
    <w:rsid w:val="00E80549"/>
    <w:rsid w:val="00E87F50"/>
    <w:rsid w:val="00E92416"/>
    <w:rsid w:val="00E925CD"/>
    <w:rsid w:val="00EA295C"/>
    <w:rsid w:val="00EC224B"/>
    <w:rsid w:val="00ED36D0"/>
    <w:rsid w:val="00EF32A4"/>
    <w:rsid w:val="00F02530"/>
    <w:rsid w:val="00F11C0D"/>
    <w:rsid w:val="00F11CF1"/>
    <w:rsid w:val="00F21C06"/>
    <w:rsid w:val="00F246CB"/>
    <w:rsid w:val="00F47C55"/>
    <w:rsid w:val="00F627F9"/>
    <w:rsid w:val="00F87474"/>
    <w:rsid w:val="00FA3983"/>
    <w:rsid w:val="00FA6676"/>
    <w:rsid w:val="00FB44D9"/>
    <w:rsid w:val="00FB70D9"/>
    <w:rsid w:val="00FC371C"/>
    <w:rsid w:val="00FC6755"/>
    <w:rsid w:val="00FD3C25"/>
    <w:rsid w:val="00FE04FE"/>
    <w:rsid w:val="00FE533F"/>
    <w:rsid w:val="00FF2A05"/>
    <w:rsid w:val="00FF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5291"/>
  <w15:chartTrackingRefBased/>
  <w15:docId w15:val="{321723D3-7CFB-420D-AE12-C0F669E7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5E6062"/>
    <w:pPr>
      <w:keepNext/>
      <w:keepLines/>
      <w:spacing w:before="84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unhideWhenUsed/>
    <w:rsid w:val="00F87474"/>
    <w:pPr>
      <w:spacing w:before="600"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5E6062"/>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BB3C8D"/>
    <w:pPr>
      <w:numPr>
        <w:numId w:val="10"/>
      </w:numPr>
      <w:spacing w:before="120" w:after="240"/>
      <w:ind w:hanging="720"/>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character" w:customStyle="1" w:styleId="Heading4Char">
    <w:name w:val="Heading 4 Char"/>
    <w:basedOn w:val="DefaultParagraphFont"/>
    <w:link w:val="Heading4"/>
    <w:uiPriority w:val="9"/>
    <w:rsid w:val="00F87474"/>
    <w:rPr>
      <w:b/>
      <w:bCs/>
      <w:sz w:val="36"/>
      <w:szCs w:val="22"/>
    </w:rPr>
  </w:style>
  <w:style w:type="paragraph" w:styleId="BodyText">
    <w:name w:val="Body Text"/>
    <w:basedOn w:val="Normal"/>
    <w:link w:val="BodyTextChar"/>
    <w:unhideWhenUsed/>
    <w:qFormat/>
    <w:rsid w:val="00AF1DA9"/>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AF1DA9"/>
    <w:rPr>
      <w:color w:val="404040" w:themeColor="text1" w:themeTint="BF"/>
    </w:rPr>
  </w:style>
  <w:style w:type="character" w:styleId="FollowedHyperlink">
    <w:name w:val="FollowedHyperlink"/>
    <w:basedOn w:val="DefaultParagraphFont"/>
    <w:uiPriority w:val="99"/>
    <w:semiHidden/>
    <w:unhideWhenUsed/>
    <w:rsid w:val="00D5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news-jobs-opportunities/andrew-ogun-reflects-on-his-first-year-arts-council-wales-agent-for-change" TargetMode="External"/><Relationship Id="rId18" Type="http://schemas.openxmlformats.org/officeDocument/2006/relationships/hyperlink" Target="https://arts.wales/access-sup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grants@arts.wales" TargetMode="External"/><Relationship Id="rId2" Type="http://schemas.openxmlformats.org/officeDocument/2006/relationships/numbering" Target="numbering.xml"/><Relationship Id="rId16" Type="http://schemas.openxmlformats.org/officeDocument/2006/relationships/hyperlink" Target="https://arts.wales/access-suppor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arts.wales" TargetMode="External"/><Relationship Id="rId5" Type="http://schemas.openxmlformats.org/officeDocument/2006/relationships/webSettings" Target="webSettings.xml"/><Relationship Id="rId15" Type="http://schemas.openxmlformats.org/officeDocument/2006/relationships/hyperlink" Target="https://arts.wales/resources/romani-cultural-arts-company-sites-inclusion-gypsy-roma-and-traveller-participation-arts" TargetMode="External"/><Relationship Id="rId10" Type="http://schemas.openxmlformats.org/officeDocument/2006/relationships/image" Target="media/image3.jpeg"/><Relationship Id="rId19" Type="http://schemas.openxmlformats.org/officeDocument/2006/relationships/hyperlink" Target="https://arts.wales/how-submit-videoaudio-applic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ts.wales/news-jobs-opportunities/144000-more-theatre-visits-due-hynt-access-scheme-wa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48</Pages>
  <Words>5172</Words>
  <Characters>29482</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151</cp:revision>
  <dcterms:created xsi:type="dcterms:W3CDTF">2024-07-04T09:42:00Z</dcterms:created>
  <dcterms:modified xsi:type="dcterms:W3CDTF">2024-07-10T09:28:00Z</dcterms:modified>
</cp:coreProperties>
</file>